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67E46" w14:textId="1F28B0D3" w:rsidR="004B46B8" w:rsidRPr="00EC2D0F" w:rsidRDefault="0020696B" w:rsidP="000A5536">
      <w:pPr>
        <w:spacing w:after="360" w:line="240" w:lineRule="auto"/>
        <w:jc w:val="both"/>
        <w:outlineLvl w:val="0"/>
        <w:rPr>
          <w:rFonts w:ascii="Century Gothic" w:eastAsia="Times New Roman" w:hAnsi="Century Gothic" w:cs="Mongolian Baiti"/>
          <w:b/>
          <w:caps/>
          <w:sz w:val="24"/>
          <w:szCs w:val="24"/>
          <w:lang w:eastAsia="fr-FR"/>
        </w:rPr>
      </w:pPr>
      <w:r w:rsidRPr="00EC2D0F">
        <w:rPr>
          <w:rFonts w:ascii="Century Gothic" w:eastAsia="Times New Roman" w:hAnsi="Century Gothic" w:cs="Mongolian Baiti"/>
          <w:b/>
          <w:caps/>
          <w:sz w:val="24"/>
          <w:szCs w:val="24"/>
          <w:lang w:eastAsia="fr-FR"/>
        </w:rPr>
        <w:t xml:space="preserve">Annexe </w:t>
      </w:r>
      <w:r w:rsidR="00D25001" w:rsidRPr="00EC2D0F">
        <w:rPr>
          <w:rFonts w:ascii="Century Gothic" w:eastAsia="Times New Roman" w:hAnsi="Century Gothic" w:cs="Mongolian Baiti"/>
          <w:b/>
          <w:caps/>
          <w:sz w:val="24"/>
          <w:szCs w:val="24"/>
          <w:lang w:eastAsia="fr-FR"/>
        </w:rPr>
        <w:t>7</w:t>
      </w:r>
      <w:r w:rsidRPr="00EC2D0F">
        <w:rPr>
          <w:rFonts w:ascii="Century Gothic" w:eastAsia="Times New Roman" w:hAnsi="Century Gothic" w:cs="Mongolian Baiti"/>
          <w:b/>
          <w:caps/>
          <w:sz w:val="24"/>
          <w:szCs w:val="24"/>
          <w:lang w:eastAsia="fr-FR"/>
        </w:rPr>
        <w:t>: Spécificités pour les projets de microfinance</w:t>
      </w:r>
    </w:p>
    <w:p w14:paraId="23FBF1EA" w14:textId="68323ED3" w:rsidR="00604DB1" w:rsidRPr="00EC2D0F" w:rsidRDefault="00604DB1" w:rsidP="0015262F">
      <w:pPr>
        <w:spacing w:after="120"/>
        <w:jc w:val="both"/>
        <w:rPr>
          <w:rFonts w:ascii="Century Gothic" w:hAnsi="Century Gothic" w:cs="Arial"/>
          <w:sz w:val="18"/>
        </w:rPr>
      </w:pPr>
    </w:p>
    <w:p w14:paraId="137C64BE" w14:textId="77777777" w:rsidR="0020696B" w:rsidRPr="00EC2D0F" w:rsidRDefault="0020696B" w:rsidP="00E45C5F">
      <w:pPr>
        <w:spacing w:after="120"/>
        <w:jc w:val="both"/>
        <w:rPr>
          <w:rFonts w:ascii="Century Gothic" w:hAnsi="Century Gothic" w:cs="Times New Roman"/>
        </w:rPr>
      </w:pPr>
      <w:r w:rsidRPr="00EC2D0F">
        <w:rPr>
          <w:rFonts w:ascii="Century Gothic" w:hAnsi="Century Gothic" w:cs="Times New Roman"/>
        </w:rPr>
        <w:t>Cette annexe a pour but de présenter les spécificités d</w:t>
      </w:r>
      <w:r w:rsidR="00116BCC" w:rsidRPr="00EC2D0F">
        <w:rPr>
          <w:rFonts w:ascii="Century Gothic" w:hAnsi="Century Gothic" w:cs="Times New Roman"/>
        </w:rPr>
        <w:t>u cycle de projet de l’AFD (DPA/OSC</w:t>
      </w:r>
      <w:r w:rsidRPr="00EC2D0F">
        <w:rPr>
          <w:rFonts w:ascii="Century Gothic" w:hAnsi="Century Gothic" w:cs="Times New Roman"/>
        </w:rPr>
        <w:t>) concernant les projets s’exerçant dans le secteur de la microfinance.</w:t>
      </w:r>
    </w:p>
    <w:p w14:paraId="2631927C" w14:textId="497C0526" w:rsidR="0020696B" w:rsidRPr="00EC2D0F" w:rsidRDefault="0020696B" w:rsidP="00E45C5F">
      <w:pPr>
        <w:spacing w:after="120"/>
        <w:jc w:val="both"/>
        <w:rPr>
          <w:rFonts w:ascii="Century Gothic" w:hAnsi="Century Gothic" w:cs="Times New Roman"/>
        </w:rPr>
      </w:pPr>
      <w:r w:rsidRPr="00EC2D0F">
        <w:rPr>
          <w:rFonts w:ascii="Century Gothic" w:hAnsi="Century Gothic" w:cs="Times New Roman"/>
        </w:rPr>
        <w:t xml:space="preserve">Dans leur grande majorité, les règles et les procédures de présélection, d’instruction et de suivi de l’exécution des projets de microfinance ne diffèrent pas de celles des projets opérés dans d’autres secteurs. Les OSC porteuses de projets de microfinance souhaitant soumettre un projet à l’Agence sont donc invitées à se référer en premier lieu au guide méthodologique intitulé </w:t>
      </w:r>
      <w:r w:rsidRPr="00EC2D0F">
        <w:rPr>
          <w:rFonts w:ascii="Century Gothic" w:hAnsi="Century Gothic" w:cs="Times New Roman"/>
          <w:i/>
        </w:rPr>
        <w:t>Le cofinancement des projets et programme</w:t>
      </w:r>
      <w:r w:rsidR="00116BCC" w:rsidRPr="00EC2D0F">
        <w:rPr>
          <w:rFonts w:ascii="Century Gothic" w:hAnsi="Century Gothic" w:cs="Times New Roman"/>
          <w:i/>
        </w:rPr>
        <w:t>s « </w:t>
      </w:r>
      <w:r w:rsidRPr="00EC2D0F">
        <w:rPr>
          <w:rFonts w:ascii="Century Gothic" w:hAnsi="Century Gothic" w:cs="Times New Roman"/>
          <w:i/>
        </w:rPr>
        <w:t>terrain</w:t>
      </w:r>
      <w:r w:rsidR="00116BCC" w:rsidRPr="00EC2D0F">
        <w:rPr>
          <w:rFonts w:ascii="Century Gothic" w:hAnsi="Century Gothic" w:cs="Times New Roman"/>
          <w:i/>
        </w:rPr>
        <w:t> » et « </w:t>
      </w:r>
      <w:r w:rsidRPr="00EC2D0F">
        <w:rPr>
          <w:rFonts w:ascii="Century Gothic" w:hAnsi="Century Gothic" w:cs="Times New Roman"/>
          <w:i/>
        </w:rPr>
        <w:t>intérêt général</w:t>
      </w:r>
      <w:r w:rsidR="00116BCC" w:rsidRPr="00EC2D0F">
        <w:rPr>
          <w:rFonts w:ascii="Century Gothic" w:hAnsi="Century Gothic" w:cs="Times New Roman"/>
          <w:i/>
        </w:rPr>
        <w:t> »</w:t>
      </w:r>
      <w:r w:rsidRPr="00EC2D0F">
        <w:rPr>
          <w:rFonts w:ascii="Century Gothic" w:hAnsi="Century Gothic" w:cs="Times New Roman"/>
          <w:i/>
        </w:rPr>
        <w:t xml:space="preserve"> </w:t>
      </w:r>
      <w:r w:rsidRPr="00EC2D0F">
        <w:rPr>
          <w:rFonts w:ascii="Century Gothic" w:hAnsi="Century Gothic" w:cs="Times New Roman"/>
        </w:rPr>
        <w:t xml:space="preserve">définissant le cadre général d’accès au guichet </w:t>
      </w:r>
      <w:r w:rsidR="003820BE" w:rsidRPr="00EC2D0F">
        <w:rPr>
          <w:rFonts w:ascii="Century Gothic" w:hAnsi="Century Gothic" w:cs="Times New Roman"/>
        </w:rPr>
        <w:t>« </w:t>
      </w:r>
      <w:r w:rsidRPr="00EC2D0F">
        <w:rPr>
          <w:rFonts w:ascii="Century Gothic" w:hAnsi="Century Gothic" w:cs="Times New Roman"/>
        </w:rPr>
        <w:t>Initiatives OSC</w:t>
      </w:r>
      <w:r w:rsidR="003820BE" w:rsidRPr="00EC2D0F">
        <w:rPr>
          <w:rFonts w:ascii="Century Gothic" w:hAnsi="Century Gothic" w:cs="Times New Roman"/>
        </w:rPr>
        <w:t> »</w:t>
      </w:r>
      <w:r w:rsidRPr="00EC2D0F">
        <w:rPr>
          <w:rFonts w:ascii="Century Gothic" w:hAnsi="Century Gothic" w:cs="Times New Roman"/>
        </w:rPr>
        <w:t>.</w:t>
      </w:r>
    </w:p>
    <w:p w14:paraId="56CD6122" w14:textId="77777777" w:rsidR="0020696B" w:rsidRPr="00EC2D0F" w:rsidRDefault="0020696B" w:rsidP="00E45C5F">
      <w:pPr>
        <w:spacing w:after="120"/>
        <w:jc w:val="both"/>
        <w:rPr>
          <w:rFonts w:ascii="Century Gothic" w:hAnsi="Century Gothic" w:cs="Times New Roman"/>
        </w:rPr>
      </w:pPr>
      <w:r w:rsidRPr="00EC2D0F">
        <w:rPr>
          <w:rFonts w:ascii="Century Gothic" w:hAnsi="Century Gothic" w:cs="Times New Roman"/>
        </w:rPr>
        <w:t xml:space="preserve">Néanmoins, compte tenu du caractère bancaire de l’activité de microfinance et des obligations particulières y afférent, notamment en matière de lutte contre le blanchiment d’argent et le financement du terrorisme, il est requis, dans le cycle du projet de microfinance, </w:t>
      </w:r>
      <w:r w:rsidRPr="00EC2D0F">
        <w:rPr>
          <w:rFonts w:ascii="Century Gothic" w:hAnsi="Century Gothic" w:cs="Times New Roman"/>
          <w:b/>
        </w:rPr>
        <w:t>la transmission de pièces administratives, comptables et financières complémentaires</w:t>
      </w:r>
      <w:r w:rsidRPr="00EC2D0F">
        <w:rPr>
          <w:rFonts w:ascii="Century Gothic" w:hAnsi="Century Gothic" w:cs="Times New Roman"/>
        </w:rPr>
        <w:t xml:space="preserve"> à ce qui est attendu pour les autres projets de terrain.</w:t>
      </w:r>
    </w:p>
    <w:p w14:paraId="20143723" w14:textId="77777777" w:rsidR="0020696B" w:rsidRPr="00EC2D0F" w:rsidRDefault="0020696B" w:rsidP="00E45C5F">
      <w:pPr>
        <w:spacing w:after="120"/>
        <w:jc w:val="both"/>
        <w:rPr>
          <w:rFonts w:ascii="Century Gothic" w:hAnsi="Century Gothic" w:cs="Times New Roman"/>
        </w:rPr>
      </w:pPr>
      <w:r w:rsidRPr="00EC2D0F">
        <w:rPr>
          <w:rFonts w:ascii="Century Gothic" w:hAnsi="Century Gothic" w:cs="Times New Roman"/>
        </w:rPr>
        <w:t xml:space="preserve">Ne sont donc ici évoqués que </w:t>
      </w:r>
      <w:r w:rsidRPr="00EC2D0F">
        <w:rPr>
          <w:rFonts w:ascii="Century Gothic" w:hAnsi="Century Gothic" w:cs="Times New Roman"/>
          <w:b/>
        </w:rPr>
        <w:t>ces règles additionnelles ou dérogatoires</w:t>
      </w:r>
      <w:r w:rsidRPr="00EC2D0F">
        <w:rPr>
          <w:rFonts w:ascii="Century Gothic" w:hAnsi="Century Gothic" w:cs="Times New Roman"/>
        </w:rPr>
        <w:t xml:space="preserve"> s’appliquant à la présélection, à l’instruction et au suivi de l’exécution de projets de microfinance.</w:t>
      </w:r>
    </w:p>
    <w:p w14:paraId="698EA7B3" w14:textId="1A84931F" w:rsidR="00D25001" w:rsidRPr="00EC2D0F" w:rsidRDefault="0020696B" w:rsidP="00E45C5F">
      <w:pPr>
        <w:spacing w:after="120"/>
        <w:jc w:val="both"/>
        <w:rPr>
          <w:rFonts w:ascii="Century Gothic" w:hAnsi="Century Gothic" w:cs="Times New Roman"/>
        </w:rPr>
      </w:pPr>
      <w:r w:rsidRPr="00EC2D0F">
        <w:rPr>
          <w:rFonts w:ascii="Century Gothic" w:hAnsi="Century Gothic" w:cs="Times New Roman"/>
        </w:rPr>
        <w:t xml:space="preserve">Sont concernés par les dispositions </w:t>
      </w:r>
      <w:r w:rsidR="00116BCC" w:rsidRPr="00EC2D0F">
        <w:rPr>
          <w:rFonts w:ascii="Century Gothic" w:hAnsi="Century Gothic" w:cs="Times New Roman"/>
        </w:rPr>
        <w:t xml:space="preserve">qui suivent l’ensemble des </w:t>
      </w:r>
      <w:r w:rsidR="00116BCC" w:rsidRPr="00EC2D0F">
        <w:rPr>
          <w:rFonts w:ascii="Century Gothic" w:hAnsi="Century Gothic" w:cs="Times New Roman"/>
          <w:b/>
        </w:rPr>
        <w:t>pro</w:t>
      </w:r>
      <w:r w:rsidRPr="00EC2D0F">
        <w:rPr>
          <w:rFonts w:ascii="Century Gothic" w:hAnsi="Century Gothic" w:cs="Times New Roman"/>
          <w:b/>
        </w:rPr>
        <w:t>jets d’appui au secteur de la microfinance</w:t>
      </w:r>
      <w:r w:rsidR="004C533B" w:rsidRPr="00EC2D0F">
        <w:rPr>
          <w:rStyle w:val="Appelnotedebasdep"/>
          <w:rFonts w:ascii="Century Gothic" w:hAnsi="Century Gothic" w:cs="Times New Roman"/>
          <w:b/>
        </w:rPr>
        <w:footnoteReference w:id="1"/>
      </w:r>
      <w:r w:rsidRPr="00EC2D0F">
        <w:rPr>
          <w:rFonts w:ascii="Century Gothic" w:hAnsi="Century Gothic" w:cs="Times New Roman"/>
        </w:rPr>
        <w:t>, c’est-à-dire les projets dont les partenaires sont des institutions de microfinance (IMF), des établissements de microfinance (EMF), ou toute</w:t>
      </w:r>
      <w:r w:rsidR="00D25001" w:rsidRPr="00EC2D0F">
        <w:rPr>
          <w:rFonts w:ascii="Century Gothic" w:hAnsi="Century Gothic" w:cs="Times New Roman"/>
        </w:rPr>
        <w:t xml:space="preserve"> autre entité</w:t>
      </w:r>
      <w:r w:rsidRPr="00EC2D0F">
        <w:rPr>
          <w:rFonts w:ascii="Century Gothic" w:hAnsi="Century Gothic" w:cs="Times New Roman"/>
        </w:rPr>
        <w:t xml:space="preserve"> exerçant une activité de microfinance, dont il est entendu</w:t>
      </w:r>
      <w:r w:rsidR="00D25001" w:rsidRPr="00EC2D0F">
        <w:rPr>
          <w:rFonts w:ascii="Century Gothic" w:hAnsi="Century Gothic" w:cs="Times New Roman"/>
        </w:rPr>
        <w:t> :</w:t>
      </w:r>
    </w:p>
    <w:p w14:paraId="25D8CED3" w14:textId="6257066D" w:rsidR="00D25001" w:rsidRPr="00EC2D0F" w:rsidRDefault="00D25001" w:rsidP="00D25001">
      <w:pPr>
        <w:pStyle w:val="Paragraphedeliste"/>
        <w:numPr>
          <w:ilvl w:val="0"/>
          <w:numId w:val="18"/>
        </w:numPr>
        <w:spacing w:after="120"/>
        <w:jc w:val="both"/>
        <w:rPr>
          <w:rFonts w:ascii="Century Gothic" w:hAnsi="Century Gothic" w:cs="Times New Roman"/>
        </w:rPr>
      </w:pPr>
      <w:r w:rsidRPr="00EC2D0F">
        <w:rPr>
          <w:rFonts w:ascii="Century Gothic" w:hAnsi="Century Gothic" w:cs="Times New Roman"/>
        </w:rPr>
        <w:t>Qu’elle</w:t>
      </w:r>
      <w:r w:rsidR="0020696B" w:rsidRPr="00EC2D0F">
        <w:rPr>
          <w:rFonts w:ascii="Century Gothic" w:hAnsi="Century Gothic" w:cs="Times New Roman"/>
        </w:rPr>
        <w:t xml:space="preserve"> désigne la fourniture de services financiers à des popu</w:t>
      </w:r>
      <w:r w:rsidRPr="00EC2D0F">
        <w:rPr>
          <w:rFonts w:ascii="Century Gothic" w:hAnsi="Century Gothic" w:cs="Times New Roman"/>
        </w:rPr>
        <w:t>lations peu ou pas bancarisées,</w:t>
      </w:r>
    </w:p>
    <w:p w14:paraId="660FEDC1" w14:textId="0AC7EC3D" w:rsidR="00D25001" w:rsidRPr="00EC2D0F" w:rsidRDefault="00D25001" w:rsidP="00D25001">
      <w:pPr>
        <w:pStyle w:val="Paragraphedeliste"/>
        <w:numPr>
          <w:ilvl w:val="0"/>
          <w:numId w:val="18"/>
        </w:numPr>
        <w:spacing w:after="120"/>
        <w:jc w:val="both"/>
        <w:rPr>
          <w:rFonts w:ascii="Century Gothic" w:hAnsi="Century Gothic" w:cs="Times New Roman"/>
        </w:rPr>
      </w:pPr>
      <w:r w:rsidRPr="00EC2D0F">
        <w:rPr>
          <w:rFonts w:ascii="Century Gothic" w:hAnsi="Century Gothic" w:cs="Times New Roman"/>
        </w:rPr>
        <w:t>Pour des bénéficiaires dont la</w:t>
      </w:r>
      <w:r w:rsidR="0020696B" w:rsidRPr="00EC2D0F">
        <w:rPr>
          <w:rFonts w:ascii="Century Gothic" w:hAnsi="Century Gothic" w:cs="Times New Roman"/>
        </w:rPr>
        <w:t xml:space="preserve"> moyenne des crédits octroyés par bénéficiaire</w:t>
      </w:r>
      <w:r w:rsidR="00116BCC" w:rsidRPr="00EC2D0F">
        <w:rPr>
          <w:rFonts w:ascii="Century Gothic" w:hAnsi="Century Gothic" w:cs="Times New Roman"/>
        </w:rPr>
        <w:t xml:space="preserve"> doit être inférieure à 10 000 euros</w:t>
      </w:r>
      <w:r w:rsidRPr="00EC2D0F">
        <w:rPr>
          <w:rFonts w:ascii="Century Gothic" w:hAnsi="Century Gothic" w:cs="Times New Roman"/>
        </w:rPr>
        <w:t>.</w:t>
      </w:r>
    </w:p>
    <w:p w14:paraId="5285D746" w14:textId="7CE42A97" w:rsidR="00481291" w:rsidRPr="00EC2D0F" w:rsidRDefault="0020696B" w:rsidP="00D25001">
      <w:pPr>
        <w:spacing w:after="120"/>
        <w:jc w:val="both"/>
        <w:rPr>
          <w:rFonts w:ascii="Century Gothic" w:hAnsi="Century Gothic" w:cs="Times New Roman"/>
        </w:rPr>
      </w:pPr>
      <w:r w:rsidRPr="00EC2D0F">
        <w:rPr>
          <w:rFonts w:ascii="Century Gothic" w:hAnsi="Century Gothic" w:cs="Times New Roman"/>
        </w:rPr>
        <w:t xml:space="preserve">Les projets </w:t>
      </w:r>
      <w:r w:rsidR="00481291" w:rsidRPr="00EC2D0F">
        <w:rPr>
          <w:rFonts w:ascii="Century Gothic" w:hAnsi="Century Gothic" w:cs="Times New Roman"/>
        </w:rPr>
        <w:t xml:space="preserve">éligibles </w:t>
      </w:r>
      <w:r w:rsidR="00986DE5" w:rsidRPr="00EC2D0F">
        <w:rPr>
          <w:rFonts w:ascii="Century Gothic" w:hAnsi="Century Gothic" w:cs="Times New Roman"/>
        </w:rPr>
        <w:t xml:space="preserve">au cofinancement par le dispositif « Initiatives OSC » </w:t>
      </w:r>
      <w:r w:rsidR="00481291" w:rsidRPr="00EC2D0F">
        <w:rPr>
          <w:rFonts w:ascii="Century Gothic" w:hAnsi="Century Gothic" w:cs="Times New Roman"/>
        </w:rPr>
        <w:t>peuvent :</w:t>
      </w:r>
    </w:p>
    <w:p w14:paraId="3B3BA3C2" w14:textId="1A69A71C" w:rsidR="00481291" w:rsidRPr="00EC2D0F" w:rsidRDefault="00481291" w:rsidP="00B712CF">
      <w:pPr>
        <w:pStyle w:val="Paragraphedeliste"/>
        <w:numPr>
          <w:ilvl w:val="0"/>
          <w:numId w:val="19"/>
        </w:numPr>
        <w:spacing w:after="120"/>
        <w:jc w:val="both"/>
        <w:rPr>
          <w:rFonts w:ascii="Century Gothic" w:hAnsi="Century Gothic" w:cs="Times New Roman"/>
        </w:rPr>
      </w:pPr>
      <w:r w:rsidRPr="00EC2D0F">
        <w:rPr>
          <w:rFonts w:ascii="Century Gothic" w:hAnsi="Century Gothic" w:cs="Times New Roman"/>
        </w:rPr>
        <w:t xml:space="preserve">Avoir pour </w:t>
      </w:r>
      <w:r w:rsidR="0020696B" w:rsidRPr="00EC2D0F">
        <w:rPr>
          <w:rFonts w:ascii="Century Gothic" w:hAnsi="Century Gothic" w:cs="Times New Roman"/>
        </w:rPr>
        <w:t xml:space="preserve">objectif de contribuer au renforcement des capacités d’IMF/EMF, à l’amélioration de leur gouvernance, ou se concentrer en premier lieu sur une dimension institutionnelle, </w:t>
      </w:r>
    </w:p>
    <w:p w14:paraId="16FB081F" w14:textId="02CF5D12" w:rsidR="00481291" w:rsidRPr="00EC2D0F" w:rsidRDefault="0015262F" w:rsidP="00B712CF">
      <w:pPr>
        <w:pStyle w:val="Paragraphedeliste"/>
        <w:numPr>
          <w:ilvl w:val="0"/>
          <w:numId w:val="19"/>
        </w:numPr>
        <w:spacing w:after="120"/>
        <w:jc w:val="both"/>
        <w:rPr>
          <w:rFonts w:ascii="Century Gothic" w:hAnsi="Century Gothic" w:cs="Times New Roman"/>
        </w:rPr>
      </w:pPr>
      <w:r w:rsidRPr="00EC2D0F">
        <w:rPr>
          <w:rFonts w:ascii="Century Gothic" w:hAnsi="Century Gothic" w:cs="Times New Roman"/>
        </w:rPr>
        <w:t>Financer des</w:t>
      </w:r>
      <w:r w:rsidR="0020696B" w:rsidRPr="00EC2D0F">
        <w:rPr>
          <w:rFonts w:ascii="Century Gothic" w:hAnsi="Century Gothic" w:cs="Times New Roman"/>
        </w:rPr>
        <w:t xml:space="preserve"> lignes de crédit</w:t>
      </w:r>
      <w:r w:rsidR="00383717" w:rsidRPr="00EC2D0F">
        <w:rPr>
          <w:rFonts w:ascii="Century Gothic" w:hAnsi="Century Gothic" w:cs="Times New Roman"/>
        </w:rPr>
        <w:t xml:space="preserve"> ou de garanties</w:t>
      </w:r>
      <w:r w:rsidR="00481291" w:rsidRPr="00EC2D0F">
        <w:rPr>
          <w:rFonts w:ascii="Century Gothic" w:hAnsi="Century Gothic" w:cs="Times New Roman"/>
        </w:rPr>
        <w:t>.</w:t>
      </w:r>
      <w:r w:rsidR="008B1E21" w:rsidRPr="00EC2D0F">
        <w:rPr>
          <w:rFonts w:ascii="Century Gothic" w:hAnsi="Century Gothic" w:cs="Times New Roman"/>
        </w:rPr>
        <w:t xml:space="preserve"> Ces lignes (ou fonds) de crédits ou de garanties ne devront pas représenter plus de 25% du budget total du projet présenté. </w:t>
      </w:r>
      <w:r w:rsidR="00987990" w:rsidRPr="00EC2D0F">
        <w:rPr>
          <w:rFonts w:ascii="Century Gothic" w:hAnsi="Century Gothic" w:cs="Times New Roman"/>
        </w:rPr>
        <w:t xml:space="preserve">Leur pertinence et l’impact recherché devront être particulièrement justifiés. </w:t>
      </w:r>
      <w:r w:rsidR="008B1E21" w:rsidRPr="00EC2D0F">
        <w:rPr>
          <w:rFonts w:ascii="Century Gothic" w:hAnsi="Century Gothic" w:cs="Times New Roman"/>
        </w:rPr>
        <w:t xml:space="preserve">Leur usage et leur finalité, initialement définis, </w:t>
      </w:r>
      <w:r w:rsidR="008B1E21" w:rsidRPr="00EC2D0F">
        <w:rPr>
          <w:rFonts w:ascii="Century Gothic" w:hAnsi="Century Gothic" w:cs="Times New Roman"/>
        </w:rPr>
        <w:lastRenderedPageBreak/>
        <w:t>devront être maintenus dans le temps</w:t>
      </w:r>
      <w:r w:rsidR="008B1E21" w:rsidRPr="00EC2D0F">
        <w:rPr>
          <w:rStyle w:val="Appelnotedebasdep"/>
          <w:rFonts w:ascii="Century Gothic" w:hAnsi="Century Gothic" w:cs="Times New Roman"/>
        </w:rPr>
        <w:footnoteReference w:id="2"/>
      </w:r>
      <w:r w:rsidR="008B1E21" w:rsidRPr="00EC2D0F">
        <w:rPr>
          <w:rFonts w:ascii="Century Gothic" w:hAnsi="Century Gothic" w:cs="Times New Roman"/>
        </w:rPr>
        <w:t>, au-delà de la durée de la convention de financement, jusqu’à extinction des fonds.</w:t>
      </w:r>
      <w:r w:rsidR="00E16A5C" w:rsidRPr="00EC2D0F">
        <w:rPr>
          <w:rFonts w:ascii="Century Gothic" w:hAnsi="Century Gothic" w:cs="Times New Roman"/>
        </w:rPr>
        <w:t xml:space="preserve"> </w:t>
      </w:r>
    </w:p>
    <w:p w14:paraId="403B9FC2" w14:textId="77777777" w:rsidR="0020696B" w:rsidRPr="00EC2D0F" w:rsidRDefault="0020696B" w:rsidP="00116BCC">
      <w:pPr>
        <w:spacing w:after="120"/>
        <w:jc w:val="both"/>
        <w:rPr>
          <w:rFonts w:ascii="Century Gothic" w:hAnsi="Century Gothic" w:cs="Times New Roman"/>
        </w:rPr>
      </w:pPr>
    </w:p>
    <w:p w14:paraId="4A6CA50D" w14:textId="74A85778" w:rsidR="0020696B" w:rsidRPr="000A4C59" w:rsidRDefault="0020696B" w:rsidP="0020696B">
      <w:pPr>
        <w:pStyle w:val="Paragraphedeliste"/>
        <w:numPr>
          <w:ilvl w:val="0"/>
          <w:numId w:val="1"/>
        </w:numPr>
        <w:rPr>
          <w:rFonts w:ascii="Century Gothic" w:hAnsi="Century Gothic" w:cs="Times New Roman"/>
          <w:b/>
          <w:color w:val="0070C0"/>
        </w:rPr>
      </w:pPr>
      <w:r w:rsidRPr="000A4C59">
        <w:rPr>
          <w:rFonts w:ascii="Century Gothic" w:hAnsi="Century Gothic" w:cs="Times New Roman"/>
          <w:b/>
          <w:color w:val="0070C0"/>
        </w:rPr>
        <w:t>Diligences propres aux Institutions de microfinance (IMF)</w:t>
      </w:r>
      <w:r w:rsidR="00AE7DED" w:rsidRPr="000A4C59">
        <w:rPr>
          <w:rFonts w:ascii="Century Gothic" w:hAnsi="Century Gothic" w:cs="Times New Roman"/>
          <w:b/>
          <w:color w:val="0070C0"/>
        </w:rPr>
        <w:t xml:space="preserve"> rétrocessionnaires de fonds</w:t>
      </w:r>
    </w:p>
    <w:p w14:paraId="4504B9D1" w14:textId="77777777" w:rsidR="0020696B" w:rsidRPr="00EC2D0F" w:rsidRDefault="0020696B" w:rsidP="0020696B">
      <w:pPr>
        <w:jc w:val="both"/>
        <w:rPr>
          <w:rFonts w:ascii="Century Gothic" w:hAnsi="Century Gothic" w:cs="Times New Roman"/>
        </w:rPr>
      </w:pPr>
    </w:p>
    <w:p w14:paraId="61595573" w14:textId="69A9B173"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En tant qu’institutions financières appuyées par des OSC bénéficiant de subventions de l’AFD, </w:t>
      </w:r>
      <w:r w:rsidRPr="00EC2D0F">
        <w:rPr>
          <w:rFonts w:ascii="Century Gothic" w:hAnsi="Century Gothic" w:cs="Times New Roman"/>
          <w:b/>
        </w:rPr>
        <w:t xml:space="preserve">les IMF font l’objet, au moment de l’instruction d’un projet, de la constitution d’un fonds de dossier </w:t>
      </w:r>
      <w:r w:rsidRPr="00EC2D0F">
        <w:rPr>
          <w:rFonts w:ascii="Century Gothic" w:hAnsi="Century Gothic" w:cs="Times New Roman"/>
        </w:rPr>
        <w:t xml:space="preserve">qui compile les pièces administratives et financières transmises à l’AFD concernant chacune d’entre elles. </w:t>
      </w:r>
      <w:r w:rsidR="002630AC" w:rsidRPr="00EC2D0F">
        <w:rPr>
          <w:rFonts w:ascii="Century Gothic" w:hAnsi="Century Gothic" w:cs="Times New Roman"/>
        </w:rPr>
        <w:t>À</w:t>
      </w:r>
      <w:r w:rsidRPr="00EC2D0F">
        <w:rPr>
          <w:rFonts w:ascii="Century Gothic" w:hAnsi="Century Gothic" w:cs="Times New Roman"/>
        </w:rPr>
        <w:t xml:space="preserve"> ce titre, les exigences d’identification vis-à-vis des IMF vont au-delà de celles concernant les partenaires du Sud des projets hors secteur de la microfinance.</w:t>
      </w:r>
    </w:p>
    <w:p w14:paraId="3B300467" w14:textId="2E09854F"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Ceci implique que la fiche</w:t>
      </w:r>
      <w:r w:rsidR="00116BCC" w:rsidRPr="00EC2D0F">
        <w:rPr>
          <w:rFonts w:ascii="Century Gothic" w:hAnsi="Century Gothic" w:cs="Times New Roman"/>
        </w:rPr>
        <w:t xml:space="preserve"> de renseignements relative au « partenaire »</w:t>
      </w:r>
      <w:r w:rsidRPr="00EC2D0F">
        <w:rPr>
          <w:rFonts w:ascii="Century Gothic" w:hAnsi="Century Gothic" w:cs="Times New Roman"/>
        </w:rPr>
        <w:t>, qui figure en annexe de la Note d’initiative OSC (« NIONG »), est spécifique dans le cas où le partenaire exerce une activité de microfinance. De même, le dossier administratif à transmettre est spécifique à chaque IMF.</w:t>
      </w:r>
    </w:p>
    <w:p w14:paraId="3C25C546" w14:textId="14812891"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Le </w:t>
      </w:r>
      <w:r w:rsidRPr="00EC2D0F">
        <w:rPr>
          <w:rFonts w:ascii="Century Gothic" w:hAnsi="Century Gothic" w:cs="Times New Roman"/>
          <w:b/>
        </w:rPr>
        <w:t>dossier administratif</w:t>
      </w:r>
      <w:r w:rsidRPr="00EC2D0F">
        <w:rPr>
          <w:rFonts w:ascii="Century Gothic" w:hAnsi="Century Gothic" w:cs="Times New Roman"/>
        </w:rPr>
        <w:t xml:space="preserve"> spécif</w:t>
      </w:r>
      <w:r w:rsidR="002630AC" w:rsidRPr="00EC2D0F">
        <w:rPr>
          <w:rFonts w:ascii="Century Gothic" w:hAnsi="Century Gothic" w:cs="Times New Roman"/>
        </w:rPr>
        <w:t xml:space="preserve">ique à chaque IMF </w:t>
      </w:r>
      <w:r w:rsidRPr="00EC2D0F">
        <w:rPr>
          <w:rFonts w:ascii="Century Gothic" w:hAnsi="Century Gothic" w:cs="Times New Roman"/>
        </w:rPr>
        <w:t>se compose impérativement des pièces suivantes, dans cet ordre :</w:t>
      </w:r>
    </w:p>
    <w:p w14:paraId="100DF0D0" w14:textId="3E4BFD31"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 xml:space="preserve">Fiche de renseignements relative au partenaire IMF (annexe </w:t>
      </w:r>
      <w:r w:rsidR="003820BE" w:rsidRPr="00EC2D0F">
        <w:rPr>
          <w:rFonts w:ascii="Century Gothic" w:hAnsi="Century Gothic" w:cs="Times New Roman"/>
        </w:rPr>
        <w:t>7</w:t>
      </w:r>
      <w:r w:rsidR="002525C3" w:rsidRPr="00EC2D0F">
        <w:rPr>
          <w:rFonts w:ascii="Century Gothic" w:hAnsi="Century Gothic" w:cs="Times New Roman"/>
        </w:rPr>
        <w:t>.1</w:t>
      </w:r>
      <w:r w:rsidRPr="00EC2D0F">
        <w:rPr>
          <w:rFonts w:ascii="Century Gothic" w:hAnsi="Century Gothic" w:cs="Times New Roman"/>
        </w:rPr>
        <w:t>).</w:t>
      </w:r>
    </w:p>
    <w:p w14:paraId="01DC2200"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Copie des statuts en vigueur de l’IMF datée et signée et/ou copie de tout document prouvant son existence juridique.</w:t>
      </w:r>
    </w:p>
    <w:p w14:paraId="75110395"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Liste datée et signée des membres du CA, du bureau et des principaux dirigeants de l’IMF et leurs coordonnées sur laquelle figure la date des dernières élections.</w:t>
      </w:r>
    </w:p>
    <w:p w14:paraId="28C36411"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Organigramme de l’IMF et son schéma actionnarial daté et signé par le dirigeant.</w:t>
      </w:r>
    </w:p>
    <w:p w14:paraId="6AE2B12C"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Dernier procès-verbal d’AG (ou au minimum l’ordre du jour de la dernière AG et les principales résolutions), ainsi que toute pièce démontrant les activités engagées et réalisées par l’IMF.</w:t>
      </w:r>
    </w:p>
    <w:p w14:paraId="15B3CC63"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Documents financiers de l’IMF pour les trois dernières années, si disponibles, certifiés ou validés par l’AG.</w:t>
      </w:r>
    </w:p>
    <w:p w14:paraId="2DB4BEEB" w14:textId="77777777"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Procédure de lutte contre le blanchiment et le financement du terrorisme (LCB-FT) mise en œuvre par l’IMF (cf. point 2 de ce document).</w:t>
      </w:r>
    </w:p>
    <w:p w14:paraId="0A0D05C1" w14:textId="38A6A691"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 xml:space="preserve">Attestation de l’IMF certifiant l’existence d’une procédure LCB-FT en vigueur en son sein, conforme aux exigences minimales, et la mise en œuvre effective de cette procédure (annexes </w:t>
      </w:r>
      <w:r w:rsidR="003820BE" w:rsidRPr="00EC2D0F">
        <w:rPr>
          <w:rFonts w:ascii="Century Gothic" w:hAnsi="Century Gothic" w:cs="Times New Roman"/>
        </w:rPr>
        <w:t>7</w:t>
      </w:r>
      <w:r w:rsidRPr="00EC2D0F">
        <w:rPr>
          <w:rFonts w:ascii="Century Gothic" w:hAnsi="Century Gothic" w:cs="Times New Roman"/>
        </w:rPr>
        <w:t xml:space="preserve">.3 VF - et </w:t>
      </w:r>
      <w:r w:rsidR="003820BE" w:rsidRPr="00EC2D0F">
        <w:rPr>
          <w:rFonts w:ascii="Century Gothic" w:hAnsi="Century Gothic" w:cs="Times New Roman"/>
        </w:rPr>
        <w:t>7</w:t>
      </w:r>
      <w:r w:rsidRPr="00EC2D0F">
        <w:rPr>
          <w:rFonts w:ascii="Century Gothic" w:hAnsi="Century Gothic" w:cs="Times New Roman"/>
        </w:rPr>
        <w:t>.4 - VA)</w:t>
      </w:r>
    </w:p>
    <w:p w14:paraId="30A2826C" w14:textId="1054A4E1" w:rsidR="0020696B" w:rsidRPr="00EC2D0F" w:rsidRDefault="0020696B" w:rsidP="00116BCC">
      <w:pPr>
        <w:pStyle w:val="Paragraphedeliste"/>
        <w:numPr>
          <w:ilvl w:val="0"/>
          <w:numId w:val="16"/>
        </w:numPr>
        <w:spacing w:after="120"/>
        <w:jc w:val="both"/>
        <w:rPr>
          <w:rFonts w:ascii="Century Gothic" w:hAnsi="Century Gothic" w:cs="Times New Roman"/>
        </w:rPr>
      </w:pPr>
      <w:r w:rsidRPr="00EC2D0F">
        <w:rPr>
          <w:rFonts w:ascii="Century Gothic" w:hAnsi="Century Gothic" w:cs="Times New Roman"/>
        </w:rPr>
        <w:t xml:space="preserve">Questionnaire LCB-FT </w:t>
      </w:r>
      <w:r w:rsidR="006F7827" w:rsidRPr="00EC2D0F">
        <w:rPr>
          <w:rFonts w:ascii="Century Gothic" w:hAnsi="Century Gothic" w:cs="Times New Roman"/>
        </w:rPr>
        <w:t>dédié</w:t>
      </w:r>
      <w:r w:rsidR="00DC0AEB" w:rsidRPr="00EC2D0F">
        <w:rPr>
          <w:rStyle w:val="Appelnotedebasdep"/>
          <w:rFonts w:ascii="Century Gothic" w:hAnsi="Century Gothic" w:cs="Times New Roman"/>
        </w:rPr>
        <w:footnoteReference w:id="3"/>
      </w:r>
      <w:r w:rsidR="006F7827" w:rsidRPr="00EC2D0F">
        <w:rPr>
          <w:rFonts w:ascii="Century Gothic" w:hAnsi="Century Gothic" w:cs="Times New Roman"/>
        </w:rPr>
        <w:t xml:space="preserve"> </w:t>
      </w:r>
      <w:r w:rsidRPr="00EC2D0F">
        <w:rPr>
          <w:rFonts w:ascii="Century Gothic" w:hAnsi="Century Gothic" w:cs="Times New Roman"/>
        </w:rPr>
        <w:t>complété par l’IMF. Se rapprocher de DPA/OSC pour l’obtention du document.</w:t>
      </w:r>
    </w:p>
    <w:p w14:paraId="657243BF" w14:textId="3C9C9D9A"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lastRenderedPageBreak/>
        <w:t xml:space="preserve">À réception de ces documents, et avant un éventuel octroi, l’AFD effectue des diligences sur l’ensemble des membres du conseil d’administration et les principaux </w:t>
      </w:r>
      <w:r w:rsidR="00116BCC" w:rsidRPr="00EC2D0F">
        <w:rPr>
          <w:rFonts w:ascii="Century Gothic" w:hAnsi="Century Gothic" w:cs="Times New Roman"/>
        </w:rPr>
        <w:t>dirigeants des institutions et/</w:t>
      </w:r>
      <w:r w:rsidRPr="00EC2D0F">
        <w:rPr>
          <w:rFonts w:ascii="Century Gothic" w:hAnsi="Century Gothic" w:cs="Times New Roman"/>
        </w:rPr>
        <w:t xml:space="preserve">ou établissements de microfinance au Sud, de manière additionnelle aux diligences habituellement réalisées sur l’OSC </w:t>
      </w:r>
      <w:r w:rsidR="004A3D5D" w:rsidRPr="00EC2D0F">
        <w:rPr>
          <w:rFonts w:ascii="Century Gothic" w:hAnsi="Century Gothic" w:cs="Times New Roman"/>
        </w:rPr>
        <w:t xml:space="preserve">cofinancée par le dispositif « Initiatives OSC » </w:t>
      </w:r>
      <w:r w:rsidRPr="00EC2D0F">
        <w:rPr>
          <w:rFonts w:ascii="Century Gothic" w:hAnsi="Century Gothic" w:cs="Times New Roman"/>
        </w:rPr>
        <w:t>et les organisations finançant ses activités ou son budget.</w:t>
      </w:r>
    </w:p>
    <w:p w14:paraId="36123D75" w14:textId="1831015C" w:rsidR="008933F7"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Cependant, les projets de microfinance bénéficiant des financements de l’Agence dans le cadre du dispositif Initiatives OSC se concentrent essentiellement sur les IMF de catégorie </w:t>
      </w:r>
      <w:proofErr w:type="spellStart"/>
      <w:r w:rsidRPr="00EC2D0F">
        <w:rPr>
          <w:rFonts w:ascii="Century Gothic" w:hAnsi="Century Gothic" w:cs="Times New Roman"/>
        </w:rPr>
        <w:t>Tier</w:t>
      </w:r>
      <w:proofErr w:type="spellEnd"/>
      <w:r w:rsidRPr="00EC2D0F">
        <w:rPr>
          <w:rFonts w:ascii="Century Gothic" w:hAnsi="Century Gothic" w:cs="Times New Roman"/>
        </w:rPr>
        <w:t xml:space="preserve"> 3, parfois faiblement structurées, dans des zones où il peut être difficile d’atteindre une rentabilité de court terme (clientèles plus pauvres et moins dess</w:t>
      </w:r>
      <w:r w:rsidR="00604DB1" w:rsidRPr="00EC2D0F">
        <w:rPr>
          <w:rFonts w:ascii="Century Gothic" w:hAnsi="Century Gothic" w:cs="Times New Roman"/>
        </w:rPr>
        <w:t>ervies, zones rurales, projets « </w:t>
      </w:r>
      <w:r w:rsidRPr="00EC2D0F">
        <w:rPr>
          <w:rFonts w:ascii="Century Gothic" w:hAnsi="Century Gothic" w:cs="Times New Roman"/>
        </w:rPr>
        <w:t>plus risqués</w:t>
      </w:r>
      <w:r w:rsidR="00604DB1" w:rsidRPr="00EC2D0F">
        <w:rPr>
          <w:rFonts w:ascii="Century Gothic" w:hAnsi="Century Gothic" w:cs="Times New Roman"/>
        </w:rPr>
        <w:t> »</w:t>
      </w:r>
      <w:r w:rsidRPr="00EC2D0F">
        <w:rPr>
          <w:rFonts w:ascii="Century Gothic" w:hAnsi="Century Gothic" w:cs="Times New Roman"/>
        </w:rPr>
        <w:t xml:space="preserve"> avec le développement de produits innovants, etc.). Il peut donc arriver que le degré de formalisation des IMF ne permette pas la transmission des pièces précitées au stade du dépôt de dossier, ou qu’il n’y ait pa</w:t>
      </w:r>
      <w:r w:rsidR="000476BB" w:rsidRPr="00EC2D0F">
        <w:rPr>
          <w:rFonts w:ascii="Century Gothic" w:hAnsi="Century Gothic" w:cs="Times New Roman"/>
        </w:rPr>
        <w:t>s d’IMF préexistante au projet.</w:t>
      </w:r>
    </w:p>
    <w:p w14:paraId="506C9BB2" w14:textId="77777777" w:rsidR="0015262F" w:rsidRPr="00EC2D0F" w:rsidRDefault="0015262F" w:rsidP="00116BCC">
      <w:pPr>
        <w:spacing w:after="120"/>
        <w:jc w:val="both"/>
        <w:rPr>
          <w:rFonts w:ascii="Century Gothic" w:hAnsi="Century Gothic" w:cs="Times New Roman"/>
        </w:rPr>
      </w:pPr>
    </w:p>
    <w:p w14:paraId="22B6F6CF" w14:textId="2B0DEDE8"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Deux cas de figure ont été particulièrement identifiés :</w:t>
      </w:r>
    </w:p>
    <w:p w14:paraId="602734F2" w14:textId="77777777" w:rsidR="00116BCC" w:rsidRPr="00EC2D0F" w:rsidRDefault="00116BCC" w:rsidP="00CD39CC">
      <w:pPr>
        <w:pStyle w:val="Paragraphedeliste"/>
        <w:numPr>
          <w:ilvl w:val="0"/>
          <w:numId w:val="17"/>
        </w:numPr>
        <w:spacing w:before="240"/>
        <w:jc w:val="both"/>
        <w:rPr>
          <w:rFonts w:ascii="Century Gothic" w:hAnsi="Century Gothic" w:cs="Times New Roman"/>
          <w:b/>
          <w:i/>
        </w:rPr>
      </w:pPr>
      <w:r w:rsidRPr="00EC2D0F">
        <w:rPr>
          <w:rFonts w:ascii="Century Gothic" w:hAnsi="Century Gothic" w:cs="Times New Roman"/>
          <w:b/>
          <w:i/>
        </w:rPr>
        <w:t xml:space="preserve">Absence d’IMF partenaires </w:t>
      </w:r>
    </w:p>
    <w:p w14:paraId="5B270845" w14:textId="25B69529" w:rsidR="0020696B" w:rsidRPr="00EC2D0F" w:rsidRDefault="00116BCC" w:rsidP="00604DB1">
      <w:pPr>
        <w:spacing w:after="120"/>
        <w:jc w:val="both"/>
        <w:rPr>
          <w:rFonts w:ascii="Century Gothic" w:hAnsi="Century Gothic" w:cs="Times New Roman"/>
        </w:rPr>
      </w:pPr>
      <w:r w:rsidRPr="00EC2D0F">
        <w:rPr>
          <w:rFonts w:ascii="Century Gothic" w:hAnsi="Century Gothic" w:cs="Times New Roman"/>
        </w:rPr>
        <w:t>D</w:t>
      </w:r>
      <w:r w:rsidR="0020696B" w:rsidRPr="00EC2D0F">
        <w:rPr>
          <w:rFonts w:ascii="Century Gothic" w:hAnsi="Century Gothic" w:cs="Times New Roman"/>
        </w:rPr>
        <w:t xml:space="preserve">ans le cas de la création par l’OSC </w:t>
      </w:r>
      <w:r w:rsidR="004A3D5D" w:rsidRPr="00EC2D0F">
        <w:rPr>
          <w:rFonts w:ascii="Century Gothic" w:hAnsi="Century Gothic" w:cs="Times New Roman"/>
        </w:rPr>
        <w:t xml:space="preserve">cofinancée par le dispositif « Initiatives OSC » </w:t>
      </w:r>
      <w:r w:rsidR="0020696B" w:rsidRPr="00EC2D0F">
        <w:rPr>
          <w:rFonts w:ascii="Century Gothic" w:hAnsi="Century Gothic" w:cs="Times New Roman"/>
        </w:rPr>
        <w:t xml:space="preserve">de programmes de microfinance en compte propre, la non-disponibilité, au moment de l’instruction, des éléments administratifs et financiers requis </w:t>
      </w:r>
      <w:r w:rsidRPr="00EC2D0F">
        <w:rPr>
          <w:rFonts w:ascii="Century Gothic" w:hAnsi="Century Gothic" w:cs="Times New Roman"/>
        </w:rPr>
        <w:t>(composition du conseil d’admi</w:t>
      </w:r>
      <w:r w:rsidR="0020696B" w:rsidRPr="00EC2D0F">
        <w:rPr>
          <w:rFonts w:ascii="Century Gothic" w:hAnsi="Century Gothic" w:cs="Times New Roman"/>
        </w:rPr>
        <w:t>nistration, organigramme, états financiers, statuts), ne constitue pas un motif d’inéligibilité.</w:t>
      </w:r>
    </w:p>
    <w:p w14:paraId="03752F8A" w14:textId="3A00F72A" w:rsidR="0020696B" w:rsidRPr="00EC2D0F" w:rsidRDefault="0020696B" w:rsidP="00604DB1">
      <w:pPr>
        <w:spacing w:after="120"/>
        <w:jc w:val="both"/>
        <w:rPr>
          <w:rFonts w:ascii="Century Gothic" w:hAnsi="Century Gothic" w:cs="Times New Roman"/>
        </w:rPr>
      </w:pPr>
      <w:r w:rsidRPr="00EC2D0F">
        <w:rPr>
          <w:rFonts w:ascii="Century Gothic" w:hAnsi="Century Gothic" w:cs="Times New Roman"/>
        </w:rPr>
        <w:t>Il est attendu de l’OSC, bénéficiaire du financement AFD, la transmission des documents attestant du fait que l’activité de microfinance s’exercera dans le respect du cadre légal du pays d’intervention, selon leur disponibilité (enregistrement de l’OSC dans le pays ou attestation de demande d’enregistrement, accords de siège, récépissé d’enregistrement de la structure juridique exerçant l’activité de microfinance [association, coopérative, IMF], agrément, dans l’hypothèse où il serait requis pa</w:t>
      </w:r>
      <w:r w:rsidR="00116BCC" w:rsidRPr="00EC2D0F">
        <w:rPr>
          <w:rFonts w:ascii="Century Gothic" w:hAnsi="Century Gothic" w:cs="Times New Roman"/>
        </w:rPr>
        <w:t>r la réglementation nationale).</w:t>
      </w:r>
    </w:p>
    <w:p w14:paraId="41AD66E6" w14:textId="77777777" w:rsidR="00116BCC" w:rsidRPr="00EC2D0F" w:rsidRDefault="00116BCC" w:rsidP="00CD39CC">
      <w:pPr>
        <w:pStyle w:val="Paragraphedeliste"/>
        <w:numPr>
          <w:ilvl w:val="0"/>
          <w:numId w:val="17"/>
        </w:numPr>
        <w:spacing w:before="240"/>
        <w:jc w:val="both"/>
        <w:rPr>
          <w:rFonts w:ascii="Century Gothic" w:hAnsi="Century Gothic" w:cs="Times New Roman"/>
          <w:b/>
          <w:i/>
        </w:rPr>
      </w:pPr>
      <w:r w:rsidRPr="00EC2D0F">
        <w:rPr>
          <w:rFonts w:ascii="Century Gothic" w:hAnsi="Century Gothic" w:cs="Times New Roman"/>
          <w:b/>
          <w:i/>
        </w:rPr>
        <w:t>Absence d’IMF formalisées</w:t>
      </w:r>
    </w:p>
    <w:p w14:paraId="34514E03" w14:textId="3DD49759" w:rsidR="0020696B" w:rsidRPr="00EC2D0F" w:rsidRDefault="00116BCC" w:rsidP="00604DB1">
      <w:pPr>
        <w:spacing w:after="120"/>
        <w:jc w:val="both"/>
        <w:rPr>
          <w:rFonts w:ascii="Century Gothic" w:hAnsi="Century Gothic" w:cs="Times New Roman"/>
        </w:rPr>
      </w:pPr>
      <w:r w:rsidRPr="00EC2D0F">
        <w:rPr>
          <w:rFonts w:ascii="Century Gothic" w:hAnsi="Century Gothic" w:cs="Times New Roman"/>
        </w:rPr>
        <w:t>D</w:t>
      </w:r>
      <w:r w:rsidR="0020696B" w:rsidRPr="00EC2D0F">
        <w:rPr>
          <w:rFonts w:ascii="Century Gothic" w:hAnsi="Century Gothic" w:cs="Times New Roman"/>
        </w:rPr>
        <w:t xml:space="preserve">ans le cas de l’incubation par l’OSC </w:t>
      </w:r>
      <w:r w:rsidR="004A3D5D" w:rsidRPr="00EC2D0F">
        <w:rPr>
          <w:rFonts w:ascii="Century Gothic" w:hAnsi="Century Gothic" w:cs="Times New Roman"/>
        </w:rPr>
        <w:t xml:space="preserve">cofinancée par le dispositif « Initiatives OSC » </w:t>
      </w:r>
      <w:r w:rsidR="0020696B" w:rsidRPr="00EC2D0F">
        <w:rPr>
          <w:rFonts w:ascii="Century Gothic" w:hAnsi="Century Gothic" w:cs="Times New Roman"/>
        </w:rPr>
        <w:t>de groupes informels pratiquant une activité qui puisse être assimilée à une activité d</w:t>
      </w:r>
      <w:r w:rsidRPr="00EC2D0F">
        <w:rPr>
          <w:rFonts w:ascii="Century Gothic" w:hAnsi="Century Gothic" w:cs="Times New Roman"/>
        </w:rPr>
        <w:t>e microfinance (groupes commu</w:t>
      </w:r>
      <w:r w:rsidR="0020696B" w:rsidRPr="00EC2D0F">
        <w:rPr>
          <w:rFonts w:ascii="Century Gothic" w:hAnsi="Century Gothic" w:cs="Times New Roman"/>
        </w:rPr>
        <w:t>nautaires, groupes villageois, tontines, etc.), la non-disponibilité, au moment de l’instruction, des él</w:t>
      </w:r>
      <w:r w:rsidRPr="00EC2D0F">
        <w:rPr>
          <w:rFonts w:ascii="Century Gothic" w:hAnsi="Century Gothic" w:cs="Times New Roman"/>
        </w:rPr>
        <w:t>éments administratifs et finan</w:t>
      </w:r>
      <w:r w:rsidR="0020696B" w:rsidRPr="00EC2D0F">
        <w:rPr>
          <w:rFonts w:ascii="Century Gothic" w:hAnsi="Century Gothic" w:cs="Times New Roman"/>
        </w:rPr>
        <w:t>ciers requis (composition du co</w:t>
      </w:r>
      <w:r w:rsidRPr="00EC2D0F">
        <w:rPr>
          <w:rFonts w:ascii="Century Gothic" w:hAnsi="Century Gothic" w:cs="Times New Roman"/>
        </w:rPr>
        <w:t>nseil d’administration, organi</w:t>
      </w:r>
      <w:r w:rsidR="0020696B" w:rsidRPr="00EC2D0F">
        <w:rPr>
          <w:rFonts w:ascii="Century Gothic" w:hAnsi="Century Gothic" w:cs="Times New Roman"/>
        </w:rPr>
        <w:t>gramme, états financiers, statuts), ne constitue pas un motif d’inéligibilité.</w:t>
      </w:r>
    </w:p>
    <w:p w14:paraId="2E2A955E" w14:textId="7C33EA26"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Il est attendu de l’OSC, bénéficiaire du financement AFD, la transmission des documents attestant du processus de formalisation, au cours de la mise en œuvre du projet. </w:t>
      </w:r>
      <w:r w:rsidRPr="00EC2D0F">
        <w:rPr>
          <w:rFonts w:ascii="Century Gothic" w:hAnsi="Century Gothic" w:cs="Times New Roman"/>
          <w:b/>
        </w:rPr>
        <w:t>La rétrocession des fonds ne pourra être envisagée qu’au bénéfice d’une structure ayant une existence légale (texte constitutif).</w:t>
      </w:r>
    </w:p>
    <w:p w14:paraId="32B10D8B" w14:textId="24B1AF18"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Par ailleurs, la pièce suivante doit être insérée en dernière position du dossier administratif de l’OSC déposant la demande de subvention </w:t>
      </w:r>
      <w:r w:rsidR="004A3D5D" w:rsidRPr="00EC2D0F">
        <w:rPr>
          <w:rFonts w:ascii="Century Gothic" w:hAnsi="Century Gothic" w:cs="Times New Roman"/>
        </w:rPr>
        <w:t xml:space="preserve">au dispositif « Initiatives </w:t>
      </w:r>
      <w:r w:rsidR="004A3D5D" w:rsidRPr="00EC2D0F">
        <w:rPr>
          <w:rFonts w:ascii="Century Gothic" w:hAnsi="Century Gothic" w:cs="Times New Roman"/>
        </w:rPr>
        <w:lastRenderedPageBreak/>
        <w:t>OSC »</w:t>
      </w:r>
      <w:r w:rsidRPr="00EC2D0F">
        <w:rPr>
          <w:rFonts w:ascii="Century Gothic" w:hAnsi="Century Gothic" w:cs="Times New Roman"/>
        </w:rPr>
        <w:t xml:space="preserve"> : procédure formalisant, de la part de l’OSC, l'obligation de déclaration au Procureur de la République, selon l'article L561-1 du Code Monétaire et Financier, des opérations dont elle a connaissance et qui portent sur des sommes qu'elle sait provenir d'une infraction passible d'une peine privative de liberté supérieure à 1 an ou qui participent au financement du terrorisme.</w:t>
      </w:r>
    </w:p>
    <w:p w14:paraId="4D615188" w14:textId="77777777" w:rsidR="0020696B" w:rsidRPr="00EC2D0F" w:rsidRDefault="00116BCC" w:rsidP="00116BCC">
      <w:pPr>
        <w:spacing w:after="120"/>
        <w:jc w:val="both"/>
        <w:rPr>
          <w:rFonts w:ascii="Century Gothic" w:hAnsi="Century Gothic" w:cs="Times New Roman"/>
        </w:rPr>
      </w:pPr>
      <w:r w:rsidRPr="00EC2D0F">
        <w:rPr>
          <w:rFonts w:ascii="Century Gothic" w:hAnsi="Century Gothic" w:cs="Times New Roman"/>
        </w:rPr>
        <w:t xml:space="preserve"> </w:t>
      </w:r>
    </w:p>
    <w:p w14:paraId="2981A58D" w14:textId="77777777" w:rsidR="0020696B" w:rsidRPr="000A4C59" w:rsidRDefault="0020696B" w:rsidP="0020696B">
      <w:pPr>
        <w:pStyle w:val="Paragraphedeliste"/>
        <w:numPr>
          <w:ilvl w:val="0"/>
          <w:numId w:val="1"/>
        </w:numPr>
        <w:jc w:val="both"/>
        <w:rPr>
          <w:rFonts w:ascii="Century Gothic" w:hAnsi="Century Gothic" w:cs="Times New Roman"/>
          <w:b/>
          <w:color w:val="0070C0"/>
        </w:rPr>
      </w:pPr>
      <w:r w:rsidRPr="000A4C59">
        <w:rPr>
          <w:rFonts w:ascii="Century Gothic" w:hAnsi="Century Gothic" w:cs="Times New Roman"/>
          <w:b/>
          <w:color w:val="0070C0"/>
        </w:rPr>
        <w:t>Les procédures LCB-FT</w:t>
      </w:r>
    </w:p>
    <w:p w14:paraId="6DB8CF36" w14:textId="77777777" w:rsidR="0020696B" w:rsidRPr="00EC2D0F" w:rsidRDefault="0020696B" w:rsidP="0020696B">
      <w:pPr>
        <w:jc w:val="both"/>
        <w:rPr>
          <w:rFonts w:ascii="Century Gothic" w:hAnsi="Century Gothic" w:cs="Times New Roman"/>
        </w:rPr>
      </w:pPr>
    </w:p>
    <w:p w14:paraId="55C787D5" w14:textId="24AA91F1" w:rsidR="008933F7" w:rsidRPr="00EC2D0F" w:rsidRDefault="0020696B" w:rsidP="00116BCC">
      <w:pPr>
        <w:spacing w:after="120"/>
        <w:jc w:val="both"/>
        <w:rPr>
          <w:rFonts w:ascii="Century Gothic" w:hAnsi="Century Gothic" w:cs="Times New Roman"/>
        </w:rPr>
      </w:pPr>
      <w:r w:rsidRPr="00EC2D0F">
        <w:rPr>
          <w:rFonts w:ascii="Century Gothic" w:hAnsi="Century Gothic" w:cs="Times New Roman"/>
        </w:rPr>
        <w:t>Conformément aux recommandations du GAFI, l’AFD exige que l</w:t>
      </w:r>
      <w:r w:rsidRPr="00EC2D0F">
        <w:rPr>
          <w:rFonts w:ascii="Century Gothic" w:hAnsi="Century Gothic" w:cs="Times New Roman"/>
          <w:b/>
        </w:rPr>
        <w:t>es institutions et établissements de microfinance</w:t>
      </w:r>
      <w:r w:rsidR="00660150" w:rsidRPr="00EC2D0F">
        <w:rPr>
          <w:rFonts w:ascii="Century Gothic" w:hAnsi="Century Gothic" w:cs="Times New Roman"/>
          <w:b/>
        </w:rPr>
        <w:t xml:space="preserve"> (IMF/EMF)</w:t>
      </w:r>
      <w:r w:rsidRPr="00EC2D0F">
        <w:rPr>
          <w:rFonts w:ascii="Century Gothic" w:hAnsi="Century Gothic" w:cs="Times New Roman"/>
          <w:b/>
        </w:rPr>
        <w:t>, appuyés dans le cadre de projets par des OSC bénéficiant de cofinancements de la part de l’AFD</w:t>
      </w:r>
      <w:r w:rsidRPr="00EC2D0F">
        <w:rPr>
          <w:rFonts w:ascii="Century Gothic" w:hAnsi="Century Gothic" w:cs="Times New Roman"/>
        </w:rPr>
        <w:t xml:space="preserve"> sur le programme 209, disposent d’une procédure de lutte contre le blanchiment et le financement du terrorisme (LCB-FT) répondant à certaines</w:t>
      </w:r>
      <w:r w:rsidR="00E45C5F" w:rsidRPr="00EC2D0F">
        <w:rPr>
          <w:rFonts w:ascii="Century Gothic" w:hAnsi="Century Gothic" w:cs="Times New Roman"/>
        </w:rPr>
        <w:t xml:space="preserve"> exigences minimales</w:t>
      </w:r>
      <w:r w:rsidRPr="00EC2D0F">
        <w:rPr>
          <w:rFonts w:ascii="Century Gothic" w:hAnsi="Century Gothic" w:cs="Times New Roman"/>
        </w:rPr>
        <w:t>.</w:t>
      </w:r>
    </w:p>
    <w:p w14:paraId="68C7AE3A" w14:textId="57D4C54F" w:rsidR="0020696B" w:rsidRPr="00EC2D0F" w:rsidRDefault="0027000D" w:rsidP="00116BCC">
      <w:pPr>
        <w:spacing w:after="120"/>
        <w:jc w:val="both"/>
        <w:rPr>
          <w:rFonts w:ascii="Century Gothic" w:hAnsi="Century Gothic" w:cs="Times New Roman"/>
        </w:rPr>
      </w:pPr>
      <w:r w:rsidRPr="00EC2D0F">
        <w:rPr>
          <w:rFonts w:ascii="Century Gothic" w:hAnsi="Century Gothic" w:cs="Times New Roman"/>
        </w:rPr>
        <w:t>Il s’agit</w:t>
      </w:r>
      <w:r w:rsidR="0020696B" w:rsidRPr="00EC2D0F">
        <w:rPr>
          <w:rFonts w:ascii="Century Gothic" w:hAnsi="Century Gothic" w:cs="Times New Roman"/>
        </w:rPr>
        <w:t xml:space="preserve"> en premier lieu de l’obligation qui pèse sur les institutions financières de connaître leurs clients (</w:t>
      </w:r>
      <w:r w:rsidR="0020696B" w:rsidRPr="00EC2D0F">
        <w:rPr>
          <w:rFonts w:ascii="Century Gothic" w:hAnsi="Century Gothic" w:cs="Times New Roman"/>
          <w:i/>
        </w:rPr>
        <w:t>Know Your Customer, KYC</w:t>
      </w:r>
      <w:r w:rsidR="0020696B" w:rsidRPr="00EC2D0F">
        <w:rPr>
          <w:rFonts w:ascii="Century Gothic" w:hAnsi="Century Gothic" w:cs="Times New Roman"/>
        </w:rPr>
        <w:t>). Il s’ensuit une obligation d’identifier et de vérifier l’identité de chaque client</w:t>
      </w:r>
      <w:r w:rsidR="00000814" w:rsidRPr="00EC2D0F">
        <w:rPr>
          <w:rFonts w:ascii="Century Gothic" w:hAnsi="Century Gothic" w:cs="Times New Roman"/>
        </w:rPr>
        <w:t>, conformément à l’annexe 7.2</w:t>
      </w:r>
      <w:r w:rsidR="0020696B" w:rsidRPr="00EC2D0F">
        <w:rPr>
          <w:rFonts w:ascii="Century Gothic" w:hAnsi="Century Gothic" w:cs="Times New Roman"/>
        </w:rPr>
        <w:t>.</w:t>
      </w:r>
    </w:p>
    <w:p w14:paraId="2BC44261" w14:textId="1344469A"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La lutte contre le financement du terrorisme impose</w:t>
      </w:r>
      <w:r w:rsidR="0027000D" w:rsidRPr="00EC2D0F">
        <w:rPr>
          <w:rFonts w:ascii="Century Gothic" w:hAnsi="Century Gothic" w:cs="Times New Roman"/>
        </w:rPr>
        <w:t xml:space="preserve"> également</w:t>
      </w:r>
      <w:r w:rsidRPr="00EC2D0F">
        <w:rPr>
          <w:rFonts w:ascii="Century Gothic" w:hAnsi="Century Gothic" w:cs="Times New Roman"/>
        </w:rPr>
        <w:t xml:space="preserve"> réglementairement au</w:t>
      </w:r>
      <w:r w:rsidR="00116BCC" w:rsidRPr="00EC2D0F">
        <w:rPr>
          <w:rFonts w:ascii="Century Gothic" w:hAnsi="Century Gothic" w:cs="Times New Roman"/>
        </w:rPr>
        <w:t>x Institutions financières une « </w:t>
      </w:r>
      <w:r w:rsidRPr="00EC2D0F">
        <w:rPr>
          <w:rFonts w:ascii="Century Gothic" w:hAnsi="Century Gothic" w:cs="Times New Roman"/>
        </w:rPr>
        <w:t>interdiction de mettre, directement ou indirectement, des fonds, des avoirs ou toutes autres ressources économiques ou financières à disposition ou au profit de toute per</w:t>
      </w:r>
      <w:r w:rsidR="00116BCC" w:rsidRPr="00EC2D0F">
        <w:rPr>
          <w:rFonts w:ascii="Century Gothic" w:hAnsi="Century Gothic" w:cs="Times New Roman"/>
        </w:rPr>
        <w:t>sonne morale/physique ou entité »</w:t>
      </w:r>
      <w:r w:rsidRPr="00EC2D0F">
        <w:rPr>
          <w:rFonts w:ascii="Century Gothic" w:hAnsi="Century Gothic" w:cs="Times New Roman"/>
        </w:rPr>
        <w:t xml:space="preserve"> qui serait listée, i.e. soumise à des sanctions financières par un pays ou une organisation internationale ou régionale (articles L562-1 et L562-5 du Code monétaire et financier). Cette interdiction se traduit pour le Groupe AFD par l’imposition à ses contreparties, institutions financières ou bénéficiaires d’une rétrocession de son concours, d’une obligation de contrôle des listes de sanctions financières (France, Union Européenne, Nations Unies).</w:t>
      </w:r>
    </w:p>
    <w:p w14:paraId="03BD62FF" w14:textId="77777777" w:rsidR="0020696B" w:rsidRPr="00EC2D0F" w:rsidRDefault="0020696B" w:rsidP="00116BCC">
      <w:pPr>
        <w:spacing w:after="120"/>
        <w:jc w:val="both"/>
        <w:rPr>
          <w:rFonts w:ascii="Century Gothic" w:hAnsi="Century Gothic" w:cs="Times New Roman"/>
        </w:rPr>
      </w:pPr>
    </w:p>
    <w:p w14:paraId="6783BECC" w14:textId="2C225355"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Dans le cas où une institution de microfinance ne disposerait pas de procédures LCB-FT en vigueur au moment du dépôt du dossier, ni à la date de la signature de la convention, le financement peut cependant être accordé, sous réserve que la subvention serve seulement, </w:t>
      </w:r>
      <w:r w:rsidR="0027000D" w:rsidRPr="00EC2D0F">
        <w:rPr>
          <w:rFonts w:ascii="Century Gothic" w:hAnsi="Century Gothic" w:cs="Times New Roman"/>
        </w:rPr>
        <w:t>lors de la première tranche</w:t>
      </w:r>
      <w:r w:rsidRPr="00EC2D0F">
        <w:rPr>
          <w:rFonts w:ascii="Century Gothic" w:hAnsi="Century Gothic" w:cs="Times New Roman"/>
        </w:rPr>
        <w:t>, au renforcement des capacités de l’IMF permettant l’adoption d’une telle procédure, et en l’absence de financement de l’activité de prêt</w:t>
      </w:r>
      <w:r w:rsidR="00660150" w:rsidRPr="00EC2D0F">
        <w:rPr>
          <w:rFonts w:ascii="Century Gothic" w:hAnsi="Century Gothic" w:cs="Times New Roman"/>
        </w:rPr>
        <w:t xml:space="preserve"> ou de garantie</w:t>
      </w:r>
      <w:r w:rsidRPr="00EC2D0F">
        <w:rPr>
          <w:rFonts w:ascii="Century Gothic" w:hAnsi="Century Gothic" w:cs="Times New Roman"/>
        </w:rPr>
        <w:t>.</w:t>
      </w:r>
    </w:p>
    <w:p w14:paraId="443B7432" w14:textId="77777777" w:rsidR="0020696B" w:rsidRPr="00EC2D0F" w:rsidRDefault="0020696B" w:rsidP="00116BCC">
      <w:pPr>
        <w:spacing w:after="120"/>
        <w:jc w:val="both"/>
        <w:rPr>
          <w:rFonts w:ascii="Century Gothic" w:hAnsi="Century Gothic" w:cs="Times New Roman"/>
        </w:rPr>
      </w:pPr>
      <w:r w:rsidRPr="00EC2D0F">
        <w:rPr>
          <w:rFonts w:ascii="Century Gothic" w:hAnsi="Century Gothic" w:cs="Times New Roman"/>
        </w:rPr>
        <w:t xml:space="preserve">La formalisation de ces procédures et des moyens mis en œuvre pour les appliquer constituent alors une condition suspensive au </w:t>
      </w:r>
      <w:r w:rsidR="007E71B6" w:rsidRPr="00EC2D0F">
        <w:rPr>
          <w:rFonts w:ascii="Century Gothic" w:hAnsi="Century Gothic" w:cs="Times New Roman"/>
        </w:rPr>
        <w:t>deuxième</w:t>
      </w:r>
      <w:r w:rsidRPr="00EC2D0F">
        <w:rPr>
          <w:rFonts w:ascii="Century Gothic" w:hAnsi="Century Gothic" w:cs="Times New Roman"/>
        </w:rPr>
        <w:t xml:space="preserve"> versement.</w:t>
      </w:r>
    </w:p>
    <w:p w14:paraId="37E58512" w14:textId="77777777" w:rsidR="0020696B" w:rsidRPr="00EC2D0F" w:rsidRDefault="0020696B" w:rsidP="00116BCC">
      <w:pPr>
        <w:spacing w:after="120"/>
        <w:jc w:val="both"/>
        <w:rPr>
          <w:rFonts w:ascii="Century Gothic" w:hAnsi="Century Gothic" w:cs="Times New Roman"/>
          <w:sz w:val="18"/>
        </w:rPr>
      </w:pPr>
    </w:p>
    <w:p w14:paraId="7B2ED462" w14:textId="77777777" w:rsidR="007E71B6" w:rsidRPr="00EC2D0F" w:rsidRDefault="007E71B6" w:rsidP="00116BCC">
      <w:pPr>
        <w:spacing w:after="120"/>
        <w:rPr>
          <w:rFonts w:ascii="Century Gothic" w:hAnsi="Century Gothic" w:cs="Times New Roman"/>
          <w:sz w:val="20"/>
        </w:rPr>
      </w:pPr>
      <w:r w:rsidRPr="00EC2D0F">
        <w:rPr>
          <w:rFonts w:ascii="Century Gothic" w:hAnsi="Century Gothic" w:cs="Times New Roman"/>
          <w:sz w:val="20"/>
        </w:rPr>
        <w:br w:type="page"/>
      </w:r>
    </w:p>
    <w:p w14:paraId="4E96B36E" w14:textId="56F48463" w:rsidR="007E71B6" w:rsidRPr="000A4C59" w:rsidRDefault="007E71B6" w:rsidP="00743C1D">
      <w:pPr>
        <w:rPr>
          <w:rFonts w:ascii="Century Gothic" w:hAnsi="Century Gothic" w:cs="Times New Roman"/>
          <w:b/>
          <w:color w:val="0070C0"/>
        </w:rPr>
      </w:pPr>
      <w:bookmarkStart w:id="0" w:name="_GoBack"/>
      <w:r w:rsidRPr="000A4C59">
        <w:rPr>
          <w:rFonts w:ascii="Century Gothic" w:hAnsi="Century Gothic" w:cs="Times New Roman"/>
          <w:b/>
          <w:color w:val="0070C0"/>
        </w:rPr>
        <w:lastRenderedPageBreak/>
        <w:t xml:space="preserve">Annexe </w:t>
      </w:r>
      <w:r w:rsidR="003820BE" w:rsidRPr="000A4C59">
        <w:rPr>
          <w:rFonts w:ascii="Century Gothic" w:hAnsi="Century Gothic" w:cs="Times New Roman"/>
          <w:b/>
          <w:color w:val="0070C0"/>
        </w:rPr>
        <w:t>7</w:t>
      </w:r>
      <w:r w:rsidRPr="000A4C59">
        <w:rPr>
          <w:rFonts w:ascii="Century Gothic" w:hAnsi="Century Gothic" w:cs="Times New Roman"/>
          <w:b/>
          <w:color w:val="0070C0"/>
        </w:rPr>
        <w:t>.1 – Fiche(s) de renseignements relative(s) au(x) partenaire(s) dans le cas où ceux-ci exerce</w:t>
      </w:r>
      <w:r w:rsidR="00743C1D" w:rsidRPr="000A4C59">
        <w:rPr>
          <w:rFonts w:ascii="Century Gothic" w:hAnsi="Century Gothic" w:cs="Times New Roman"/>
          <w:b/>
          <w:color w:val="0070C0"/>
        </w:rPr>
        <w:t>nt une activité de microfinance</w:t>
      </w:r>
    </w:p>
    <w:bookmarkEnd w:id="0"/>
    <w:p w14:paraId="066E584F" w14:textId="77777777" w:rsidR="00116BCC" w:rsidRPr="00EC2D0F" w:rsidRDefault="00116BCC" w:rsidP="0020696B">
      <w:pPr>
        <w:jc w:val="both"/>
        <w:rPr>
          <w:rFonts w:ascii="Century Gothic" w:hAnsi="Century Gothic" w:cs="Times New Roman"/>
          <w:i/>
          <w:sz w:val="18"/>
        </w:rPr>
      </w:pPr>
    </w:p>
    <w:p w14:paraId="4270F164" w14:textId="23C444B1" w:rsidR="007E71B6" w:rsidRPr="00EC2D0F" w:rsidRDefault="007E71B6" w:rsidP="0020696B">
      <w:pPr>
        <w:jc w:val="both"/>
        <w:rPr>
          <w:rFonts w:ascii="Century Gothic" w:hAnsi="Century Gothic" w:cs="Times New Roman"/>
          <w:i/>
          <w:sz w:val="18"/>
        </w:rPr>
      </w:pPr>
      <w:r w:rsidRPr="00EC2D0F">
        <w:rPr>
          <w:rFonts w:ascii="Century Gothic" w:hAnsi="Century Gothic" w:cs="Times New Roman"/>
          <w:i/>
          <w:sz w:val="18"/>
        </w:rPr>
        <w:t>Fiche à actualiser et à joindre à chaque dépôt de demande de cofinancement.</w:t>
      </w:r>
    </w:p>
    <w:p w14:paraId="01E96771"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 complet de l’organisme</w:t>
      </w:r>
    </w:p>
    <w:p w14:paraId="060CBC69" w14:textId="27689641" w:rsidR="007E71B6" w:rsidRPr="00EC2D0F" w:rsidRDefault="007E71B6" w:rsidP="00743C1D">
      <w:pPr>
        <w:pBdr>
          <w:top w:val="single" w:sz="4" w:space="1" w:color="auto"/>
          <w:bottom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Acronyme (si communément utilisé pour désigner l’organisme, sinon /)</w:t>
      </w:r>
    </w:p>
    <w:p w14:paraId="31A4B614" w14:textId="77777777" w:rsidR="007E71B6" w:rsidRPr="00EC2D0F" w:rsidRDefault="007E71B6" w:rsidP="00743C1D">
      <w:pPr>
        <w:pBdr>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Lieu d'implantation du siège social (adresse) </w:t>
      </w:r>
    </w:p>
    <w:p w14:paraId="16E9DE02"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Téléphone</w:t>
      </w:r>
    </w:p>
    <w:p w14:paraId="24F6A3CE" w14:textId="77777777" w:rsidR="007E71B6" w:rsidRPr="00EC2D0F" w:rsidRDefault="00743C1D"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Fax</w:t>
      </w:r>
    </w:p>
    <w:p w14:paraId="24F6EEB4"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Adresse électronique </w:t>
      </w:r>
    </w:p>
    <w:p w14:paraId="30303334"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Site internet</w:t>
      </w:r>
    </w:p>
    <w:p w14:paraId="44291421"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Date de création</w:t>
      </w:r>
    </w:p>
    <w:p w14:paraId="76F5FF57"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Statut Juridique</w:t>
      </w:r>
    </w:p>
    <w:p w14:paraId="5651A623"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Existence d’un agrément ou d’une autorisation à exercer une activité de microfinance</w:t>
      </w:r>
      <w:r w:rsidR="00291C90" w:rsidRPr="00EC2D0F">
        <w:rPr>
          <w:rFonts w:ascii="Century Gothic" w:hAnsi="Century Gothic" w:cs="Times New Roman"/>
          <w:sz w:val="18"/>
          <w:vertAlign w:val="superscript"/>
        </w:rPr>
        <w:t>1</w:t>
      </w:r>
      <w:r w:rsidRPr="00EC2D0F">
        <w:rPr>
          <w:rFonts w:ascii="Century Gothic" w:hAnsi="Century Gothic" w:cs="Times New Roman"/>
          <w:sz w:val="18"/>
        </w:rPr>
        <w:t xml:space="preserve"> (O/N) </w:t>
      </w:r>
    </w:p>
    <w:p w14:paraId="155F7E89"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w:t>
      </w:r>
      <w:r w:rsidRPr="00EC2D0F">
        <w:rPr>
          <w:rFonts w:ascii="Century Gothic" w:hAnsi="Century Gothic" w:cs="Times New Roman"/>
          <w:sz w:val="18"/>
        </w:rPr>
        <w:tab/>
      </w:r>
      <w:r w:rsidRPr="00EC2D0F">
        <w:rPr>
          <w:rFonts w:ascii="Century Gothic" w:hAnsi="Century Gothic" w:cs="Times New Roman"/>
          <w:sz w:val="18"/>
        </w:rPr>
        <w:tab/>
      </w:r>
      <w:r w:rsidRPr="00EC2D0F">
        <w:rPr>
          <w:rFonts w:ascii="Century Gothic" w:hAnsi="Century Gothic" w:cs="Times New Roman"/>
          <w:sz w:val="18"/>
        </w:rPr>
        <w:tab/>
        <w:t>Date</w:t>
      </w:r>
      <w:r w:rsidRPr="00EC2D0F">
        <w:rPr>
          <w:rFonts w:ascii="Century Gothic" w:hAnsi="Century Gothic" w:cs="Times New Roman"/>
          <w:sz w:val="18"/>
        </w:rPr>
        <w:tab/>
      </w:r>
      <w:r w:rsidRPr="00EC2D0F">
        <w:rPr>
          <w:rFonts w:ascii="Century Gothic" w:hAnsi="Century Gothic" w:cs="Times New Roman"/>
          <w:sz w:val="18"/>
        </w:rPr>
        <w:tab/>
      </w:r>
      <w:r w:rsidRPr="00EC2D0F">
        <w:rPr>
          <w:rFonts w:ascii="Century Gothic" w:hAnsi="Century Gothic" w:cs="Times New Roman"/>
          <w:sz w:val="18"/>
        </w:rPr>
        <w:tab/>
        <w:t>Délivré par</w:t>
      </w:r>
    </w:p>
    <w:p w14:paraId="0B85FDE1"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Existence d’une procédure de lutte contre le blanchiment et le financement du terrorisme</w:t>
      </w:r>
      <w:r w:rsidR="00291C90" w:rsidRPr="00EC2D0F">
        <w:rPr>
          <w:rFonts w:ascii="Century Gothic" w:hAnsi="Century Gothic" w:cs="Times New Roman"/>
          <w:sz w:val="18"/>
          <w:vertAlign w:val="superscript"/>
        </w:rPr>
        <w:t>2</w:t>
      </w:r>
      <w:r w:rsidRPr="00EC2D0F">
        <w:rPr>
          <w:rFonts w:ascii="Century Gothic" w:hAnsi="Century Gothic" w:cs="Times New Roman"/>
          <w:sz w:val="18"/>
        </w:rPr>
        <w:t xml:space="preserve"> (LCB-FT) (O/N)</w:t>
      </w:r>
    </w:p>
    <w:p w14:paraId="2E694561"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 et prénom du/de la directeur/trice</w:t>
      </w:r>
    </w:p>
    <w:p w14:paraId="17976D43"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Nom et prénom du/de la directeur/trice financier·e </w:t>
      </w:r>
    </w:p>
    <w:p w14:paraId="274760B5"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 et prénom du/de la président·e</w:t>
      </w:r>
    </w:p>
    <w:p w14:paraId="7855D086"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Nom et prénom du/de la secrétaire général·e </w:t>
      </w:r>
    </w:p>
    <w:p w14:paraId="0F2D9D8B"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 et prénom du/de la trésorier·e</w:t>
      </w:r>
    </w:p>
    <w:p w14:paraId="64019085"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vertAlign w:val="superscript"/>
        </w:rPr>
      </w:pPr>
      <w:r w:rsidRPr="00EC2D0F">
        <w:rPr>
          <w:rFonts w:ascii="Century Gothic" w:hAnsi="Century Gothic" w:cs="Times New Roman"/>
          <w:sz w:val="18"/>
        </w:rPr>
        <w:t>Nombre de membres composant le Conseil d’Administration</w:t>
      </w:r>
      <w:r w:rsidR="00291C90" w:rsidRPr="00EC2D0F">
        <w:rPr>
          <w:rFonts w:ascii="Century Gothic" w:hAnsi="Century Gothic" w:cs="Times New Roman"/>
          <w:sz w:val="18"/>
          <w:vertAlign w:val="superscript"/>
        </w:rPr>
        <w:t>3</w:t>
      </w:r>
    </w:p>
    <w:p w14:paraId="2B1232E8" w14:textId="77777777" w:rsidR="00743C1D" w:rsidRPr="00EC2D0F" w:rsidRDefault="007E71B6" w:rsidP="00743C1D">
      <w:pPr>
        <w:pBdr>
          <w:top w:val="single" w:sz="4" w:space="1" w:color="auto"/>
          <w:bottom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Compte-t-on parmi ses membres un·e agent de l’Agence Française de Développe</w:t>
      </w:r>
      <w:r w:rsidR="00743C1D" w:rsidRPr="00EC2D0F">
        <w:rPr>
          <w:rFonts w:ascii="Century Gothic" w:hAnsi="Century Gothic" w:cs="Times New Roman"/>
          <w:sz w:val="18"/>
        </w:rPr>
        <w:t>ment ?</w:t>
      </w:r>
    </w:p>
    <w:p w14:paraId="7437BA08" w14:textId="77777777" w:rsidR="007E71B6" w:rsidRPr="00EC2D0F" w:rsidRDefault="007E71B6" w:rsidP="00743C1D">
      <w:pPr>
        <w:pBdr>
          <w:top w:val="single" w:sz="4" w:space="1" w:color="auto"/>
          <w:bottom w:val="single" w:sz="4" w:space="1" w:color="auto"/>
        </w:pBdr>
        <w:spacing w:before="60" w:after="60"/>
        <w:jc w:val="both"/>
        <w:rPr>
          <w:rFonts w:ascii="Century Gothic" w:hAnsi="Century Gothic" w:cs="Times New Roman"/>
          <w:i/>
          <w:sz w:val="18"/>
        </w:rPr>
      </w:pPr>
      <w:r w:rsidRPr="00EC2D0F">
        <w:rPr>
          <w:rFonts w:ascii="Century Gothic" w:hAnsi="Century Gothic" w:cs="Times New Roman"/>
          <w:i/>
          <w:sz w:val="18"/>
        </w:rPr>
        <w:t>Si oui, indiquez son nom et sa fonction</w:t>
      </w:r>
    </w:p>
    <w:p w14:paraId="18E8B740" w14:textId="77777777" w:rsidR="007E71B6" w:rsidRPr="00EC2D0F" w:rsidRDefault="007E71B6" w:rsidP="00743C1D">
      <w:pPr>
        <w:pBdr>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Compte-t-on parmi ses membres une </w:t>
      </w:r>
      <w:r w:rsidR="00743C1D" w:rsidRPr="00EC2D0F">
        <w:rPr>
          <w:rFonts w:ascii="Century Gothic" w:hAnsi="Century Gothic" w:cs="Times New Roman"/>
          <w:sz w:val="18"/>
        </w:rPr>
        <w:t>personne politiquement exposée</w:t>
      </w:r>
      <w:r w:rsidR="00291C90" w:rsidRPr="00EC2D0F">
        <w:rPr>
          <w:rFonts w:ascii="Century Gothic" w:hAnsi="Century Gothic" w:cs="Times New Roman"/>
          <w:sz w:val="18"/>
          <w:vertAlign w:val="superscript"/>
        </w:rPr>
        <w:t>4</w:t>
      </w:r>
      <w:r w:rsidR="00291C90" w:rsidRPr="00EC2D0F">
        <w:rPr>
          <w:rFonts w:ascii="Century Gothic" w:hAnsi="Century Gothic" w:cs="Times New Roman"/>
          <w:sz w:val="18"/>
        </w:rPr>
        <w:t xml:space="preserve"> </w:t>
      </w:r>
      <w:r w:rsidRPr="00EC2D0F">
        <w:rPr>
          <w:rFonts w:ascii="Century Gothic" w:hAnsi="Century Gothic" w:cs="Times New Roman"/>
          <w:sz w:val="18"/>
        </w:rPr>
        <w:t>?</w:t>
      </w:r>
    </w:p>
    <w:p w14:paraId="32CACCEC" w14:textId="77777777" w:rsidR="007E71B6" w:rsidRPr="00EC2D0F" w:rsidRDefault="007E71B6" w:rsidP="00743C1D">
      <w:pPr>
        <w:spacing w:before="60" w:after="60"/>
        <w:jc w:val="both"/>
        <w:rPr>
          <w:rFonts w:ascii="Century Gothic" w:hAnsi="Century Gothic" w:cs="Times New Roman"/>
          <w:i/>
          <w:sz w:val="18"/>
        </w:rPr>
      </w:pPr>
      <w:r w:rsidRPr="00EC2D0F">
        <w:rPr>
          <w:rFonts w:ascii="Century Gothic" w:hAnsi="Century Gothic" w:cs="Times New Roman"/>
          <w:i/>
          <w:sz w:val="18"/>
        </w:rPr>
        <w:t xml:space="preserve">Si oui, </w:t>
      </w:r>
      <w:r w:rsidR="00743C1D" w:rsidRPr="00EC2D0F">
        <w:rPr>
          <w:rFonts w:ascii="Century Gothic" w:hAnsi="Century Gothic" w:cs="Times New Roman"/>
          <w:i/>
          <w:sz w:val="18"/>
        </w:rPr>
        <w:t>indiquez son nom et sa fonction</w:t>
      </w:r>
    </w:p>
    <w:p w14:paraId="6D31D36A" w14:textId="5D990052" w:rsidR="00743C1D" w:rsidRPr="00EC2D0F" w:rsidRDefault="007E71B6" w:rsidP="00743C1D">
      <w:pPr>
        <w:pBdr>
          <w:top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Date de l’Assemblée générale au cours de laquelle ont été élu·e·s les mem</w:t>
      </w:r>
      <w:r w:rsidR="00743C1D" w:rsidRPr="00EC2D0F">
        <w:rPr>
          <w:rFonts w:ascii="Century Gothic" w:hAnsi="Century Gothic" w:cs="Times New Roman"/>
          <w:sz w:val="18"/>
        </w:rPr>
        <w:t>bres du CA et du bureau actuels</w:t>
      </w:r>
    </w:p>
    <w:p w14:paraId="2B887BB3"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Date d’échéance des mandats de ces membres</w:t>
      </w:r>
    </w:p>
    <w:p w14:paraId="2DFE54F9"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Date de la dernière AG et date prévisionnelle de la prochaine assemblée générale Objet de l’organisme</w:t>
      </w:r>
    </w:p>
    <w:p w14:paraId="110EB139" w14:textId="77777777" w:rsidR="00743C1D"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Zone(s) d’intervention </w:t>
      </w:r>
    </w:p>
    <w:p w14:paraId="7BB1863C"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Secteur(s) d’intervention</w:t>
      </w:r>
    </w:p>
    <w:p w14:paraId="6477A448" w14:textId="77777777" w:rsidR="00743C1D"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Dispo</w:t>
      </w:r>
      <w:r w:rsidR="00743C1D" w:rsidRPr="00EC2D0F">
        <w:rPr>
          <w:rFonts w:ascii="Century Gothic" w:hAnsi="Century Gothic" w:cs="Times New Roman"/>
          <w:sz w:val="18"/>
        </w:rPr>
        <w:t xml:space="preserve">nibilités des états financiers </w:t>
      </w:r>
      <w:r w:rsidRPr="00EC2D0F">
        <w:rPr>
          <w:rFonts w:ascii="Century Gothic" w:hAnsi="Century Gothic" w:cs="Times New Roman"/>
          <w:sz w:val="18"/>
        </w:rPr>
        <w:t xml:space="preserve">(O/N) </w:t>
      </w:r>
    </w:p>
    <w:p w14:paraId="5CE63AFE"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Si oui, pour quels exercices ?</w:t>
      </w:r>
    </w:p>
    <w:p w14:paraId="0771FE24" w14:textId="77777777" w:rsidR="007E71B6"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 xml:space="preserve">Si oui, sont-ils certifiés par un commissaire aux comptes ou </w:t>
      </w:r>
      <w:r w:rsidR="00743C1D" w:rsidRPr="00EC2D0F">
        <w:rPr>
          <w:rFonts w:ascii="Century Gothic" w:hAnsi="Century Gothic" w:cs="Times New Roman"/>
          <w:sz w:val="18"/>
        </w:rPr>
        <w:t>validés en assemblée générale ?</w:t>
      </w:r>
    </w:p>
    <w:p w14:paraId="3B2F52B7" w14:textId="77777777" w:rsidR="007E71B6" w:rsidRPr="00EC2D0F" w:rsidRDefault="00743C1D" w:rsidP="00743C1D">
      <w:pPr>
        <w:pBdr>
          <w:top w:val="single" w:sz="4" w:space="1" w:color="auto"/>
          <w:bottom w:val="single" w:sz="4" w:space="1" w:color="auto"/>
          <w:between w:val="single" w:sz="4" w:space="1" w:color="auto"/>
        </w:pBdr>
        <w:spacing w:before="60" w:after="60"/>
        <w:ind w:firstLine="1843"/>
        <w:jc w:val="both"/>
        <w:rPr>
          <w:rFonts w:ascii="Century Gothic" w:hAnsi="Century Gothic" w:cs="Times New Roman"/>
          <w:sz w:val="18"/>
        </w:rPr>
      </w:pPr>
      <w:r w:rsidRPr="00EC2D0F">
        <w:rPr>
          <w:rFonts w:ascii="Century Gothic" w:hAnsi="Century Gothic" w:cs="Times New Roman"/>
          <w:sz w:val="18"/>
        </w:rPr>
        <w:t>20..</w:t>
      </w:r>
      <w:r w:rsidRPr="00EC2D0F">
        <w:rPr>
          <w:rFonts w:ascii="Century Gothic" w:hAnsi="Century Gothic" w:cs="Times New Roman"/>
          <w:sz w:val="18"/>
        </w:rPr>
        <w:tab/>
      </w:r>
      <w:r w:rsidRPr="00EC2D0F">
        <w:rPr>
          <w:rFonts w:ascii="Century Gothic" w:hAnsi="Century Gothic" w:cs="Times New Roman"/>
          <w:sz w:val="18"/>
        </w:rPr>
        <w:tab/>
      </w:r>
      <w:r w:rsidRPr="00EC2D0F">
        <w:rPr>
          <w:rFonts w:ascii="Century Gothic" w:hAnsi="Century Gothic" w:cs="Times New Roman"/>
          <w:sz w:val="18"/>
        </w:rPr>
        <w:tab/>
        <w:t>20..</w:t>
      </w:r>
      <w:r w:rsidRPr="00EC2D0F">
        <w:rPr>
          <w:rFonts w:ascii="Century Gothic" w:hAnsi="Century Gothic" w:cs="Times New Roman"/>
          <w:sz w:val="18"/>
        </w:rPr>
        <w:tab/>
      </w:r>
      <w:r w:rsidRPr="00EC2D0F">
        <w:rPr>
          <w:rFonts w:ascii="Century Gothic" w:hAnsi="Century Gothic" w:cs="Times New Roman"/>
          <w:sz w:val="18"/>
        </w:rPr>
        <w:tab/>
      </w:r>
      <w:r w:rsidRPr="00EC2D0F">
        <w:rPr>
          <w:rFonts w:ascii="Century Gothic" w:hAnsi="Century Gothic" w:cs="Times New Roman"/>
          <w:sz w:val="18"/>
        </w:rPr>
        <w:tab/>
        <w:t>20..</w:t>
      </w:r>
    </w:p>
    <w:p w14:paraId="218513B2" w14:textId="77777777" w:rsidR="007E71B6" w:rsidRPr="00EC2D0F" w:rsidRDefault="00743C1D"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Nombre de membres</w:t>
      </w:r>
    </w:p>
    <w:p w14:paraId="095145A5" w14:textId="77777777" w:rsidR="00291C90" w:rsidRPr="00EC2D0F" w:rsidRDefault="007E71B6" w:rsidP="00743C1D">
      <w:pPr>
        <w:pBdr>
          <w:top w:val="single" w:sz="4" w:space="1" w:color="auto"/>
          <w:bottom w:val="single" w:sz="4" w:space="1" w:color="auto"/>
          <w:between w:val="single" w:sz="4" w:space="1" w:color="auto"/>
        </w:pBdr>
        <w:spacing w:before="60" w:after="60"/>
        <w:jc w:val="both"/>
        <w:rPr>
          <w:rFonts w:ascii="Century Gothic" w:hAnsi="Century Gothic" w:cs="Times New Roman"/>
          <w:sz w:val="18"/>
        </w:rPr>
      </w:pPr>
      <w:r w:rsidRPr="00EC2D0F">
        <w:rPr>
          <w:rFonts w:ascii="Century Gothic" w:hAnsi="Century Gothic" w:cs="Times New Roman"/>
          <w:sz w:val="18"/>
        </w:rPr>
        <w:t>Nombre de bénéficiaires de prêts</w:t>
      </w:r>
    </w:p>
    <w:p w14:paraId="0DE98457" w14:textId="77777777" w:rsidR="00291C90" w:rsidRPr="00EC2D0F" w:rsidRDefault="00291C90" w:rsidP="00116BCC">
      <w:pPr>
        <w:pStyle w:val="Notedefin"/>
        <w:spacing w:after="120"/>
        <w:ind w:left="142" w:hanging="142"/>
        <w:rPr>
          <w:rFonts w:ascii="Century Gothic" w:hAnsi="Century Gothic" w:cs="Times New Roman"/>
          <w:sz w:val="16"/>
        </w:rPr>
      </w:pPr>
      <w:r w:rsidRPr="00EC2D0F">
        <w:rPr>
          <w:rFonts w:ascii="Century Gothic" w:hAnsi="Century Gothic" w:cs="Times New Roman"/>
          <w:sz w:val="18"/>
        </w:rPr>
        <w:br w:type="page"/>
      </w:r>
      <w:r w:rsidRPr="00EC2D0F">
        <w:rPr>
          <w:rFonts w:ascii="Century Gothic" w:hAnsi="Century Gothic" w:cs="Times New Roman"/>
          <w:sz w:val="16"/>
          <w:vertAlign w:val="superscript"/>
        </w:rPr>
        <w:lastRenderedPageBreak/>
        <w:t>1</w:t>
      </w:r>
      <w:r w:rsidRPr="00EC2D0F">
        <w:rPr>
          <w:rFonts w:ascii="Century Gothic" w:hAnsi="Century Gothic" w:cs="Times New Roman"/>
          <w:sz w:val="16"/>
        </w:rPr>
        <w:tab/>
        <w:t>Joindre au dossier administratif.</w:t>
      </w:r>
    </w:p>
    <w:p w14:paraId="5286B653" w14:textId="77777777" w:rsidR="00291C90" w:rsidRPr="00EC2D0F" w:rsidRDefault="00291C90" w:rsidP="00116BCC">
      <w:pPr>
        <w:pStyle w:val="Notedefin"/>
        <w:spacing w:after="120"/>
        <w:ind w:left="142" w:hanging="142"/>
        <w:rPr>
          <w:rFonts w:ascii="Century Gothic" w:hAnsi="Century Gothic" w:cs="Times New Roman"/>
          <w:sz w:val="16"/>
        </w:rPr>
      </w:pPr>
      <w:r w:rsidRPr="00EC2D0F">
        <w:rPr>
          <w:rStyle w:val="Appeldenotedefin"/>
          <w:rFonts w:ascii="Century Gothic" w:hAnsi="Century Gothic" w:cs="Times New Roman"/>
          <w:sz w:val="16"/>
        </w:rPr>
        <w:t>2</w:t>
      </w:r>
      <w:r w:rsidRPr="00EC2D0F">
        <w:rPr>
          <w:rStyle w:val="Appeldenotedefin"/>
          <w:rFonts w:ascii="Century Gothic" w:hAnsi="Century Gothic" w:cs="Times New Roman"/>
          <w:sz w:val="16"/>
        </w:rPr>
        <w:tab/>
      </w:r>
      <w:r w:rsidRPr="00EC2D0F">
        <w:rPr>
          <w:rFonts w:ascii="Century Gothic" w:hAnsi="Century Gothic" w:cs="Times New Roman"/>
          <w:sz w:val="16"/>
        </w:rPr>
        <w:t>Joindre au dossier administratif.</w:t>
      </w:r>
    </w:p>
    <w:p w14:paraId="150D7B40" w14:textId="77777777" w:rsidR="00291C90" w:rsidRPr="00EC2D0F" w:rsidRDefault="00291C90" w:rsidP="00116BCC">
      <w:pPr>
        <w:pStyle w:val="Notedefin"/>
        <w:spacing w:after="120"/>
        <w:ind w:left="142" w:hanging="142"/>
        <w:rPr>
          <w:rFonts w:ascii="Century Gothic" w:hAnsi="Century Gothic" w:cs="Times New Roman"/>
          <w:sz w:val="16"/>
        </w:rPr>
      </w:pPr>
      <w:r w:rsidRPr="00EC2D0F">
        <w:rPr>
          <w:rStyle w:val="Appeldenotedefin"/>
          <w:rFonts w:ascii="Century Gothic" w:hAnsi="Century Gothic" w:cs="Times New Roman"/>
          <w:sz w:val="16"/>
        </w:rPr>
        <w:t>3</w:t>
      </w:r>
      <w:r w:rsidRPr="00EC2D0F">
        <w:rPr>
          <w:rStyle w:val="Appeldenotedefin"/>
          <w:rFonts w:ascii="Century Gothic" w:hAnsi="Century Gothic" w:cs="Times New Roman"/>
          <w:sz w:val="16"/>
        </w:rPr>
        <w:tab/>
      </w:r>
      <w:r w:rsidRPr="00EC2D0F">
        <w:rPr>
          <w:rFonts w:ascii="Century Gothic" w:hAnsi="Century Gothic" w:cs="Times New Roman"/>
          <w:sz w:val="16"/>
        </w:rPr>
        <w:t>Joindre la liste détaillée au dossier administratif.</w:t>
      </w:r>
    </w:p>
    <w:p w14:paraId="413E0BB5" w14:textId="77777777" w:rsidR="00291C90" w:rsidRPr="00EC2D0F" w:rsidRDefault="00291C90" w:rsidP="00116BCC">
      <w:pPr>
        <w:pStyle w:val="Notedefin"/>
        <w:spacing w:after="120"/>
        <w:ind w:left="142" w:hanging="142"/>
        <w:rPr>
          <w:rFonts w:ascii="Century Gothic" w:hAnsi="Century Gothic" w:cs="Times New Roman"/>
          <w:sz w:val="16"/>
        </w:rPr>
      </w:pPr>
      <w:r w:rsidRPr="00EC2D0F">
        <w:rPr>
          <w:rStyle w:val="Appeldenotedefin"/>
          <w:rFonts w:ascii="Century Gothic" w:hAnsi="Century Gothic" w:cs="Times New Roman"/>
          <w:sz w:val="16"/>
        </w:rPr>
        <w:t>4</w:t>
      </w:r>
      <w:r w:rsidRPr="00EC2D0F">
        <w:rPr>
          <w:rStyle w:val="Appeldenotedefin"/>
          <w:rFonts w:ascii="Century Gothic" w:hAnsi="Century Gothic" w:cs="Times New Roman"/>
          <w:sz w:val="16"/>
        </w:rPr>
        <w:tab/>
      </w:r>
      <w:r w:rsidRPr="00EC2D0F">
        <w:rPr>
          <w:rFonts w:ascii="Century Gothic" w:hAnsi="Century Gothic" w:cs="Times New Roman"/>
          <w:sz w:val="16"/>
        </w:rPr>
        <w:t>Une personne politiquement exposée (PPE) est une personne qui exerce ou a cessé d’exercer, depuis moins d’un an, d’importantes fonctions publiques, par exemple : chef d’État ou de gouvernement, parlementaires, membres d’une Cour suprême ou d’une Cour constitutionnelle, d’une Cour des comptes, dirigeants ou membres de l’organe de direction d’une banque centrale, diplomates de haut rang, militaires de haut rang assurant le commandement d’une armée, membres d’un organe d’administration, de direction ou de surveillance d’une entreprise publique ou dirigeants d’une institution internationale ou membre d’organe dirigeant d’un parti politique. Les relations d’affaires avec les membres directs de la famille d’une PPE ou les personnes connues pour lui être étroitement associées présentent des risques similaires à ceux liés aux PPE elles-mêmes. Cette expression ne couvre pas les personnes de rang moyen ou inférieur relevant des catégories mentionnées ci-dessus.</w:t>
      </w:r>
    </w:p>
    <w:p w14:paraId="04540735" w14:textId="77777777" w:rsidR="00291C90" w:rsidRPr="00EC2D0F" w:rsidRDefault="00291C90">
      <w:pPr>
        <w:rPr>
          <w:rFonts w:ascii="Century Gothic" w:hAnsi="Century Gothic" w:cs="Times New Roman"/>
          <w:sz w:val="18"/>
        </w:rPr>
      </w:pPr>
      <w:r w:rsidRPr="00EC2D0F">
        <w:rPr>
          <w:rFonts w:ascii="Century Gothic" w:hAnsi="Century Gothic" w:cs="Times New Roman"/>
          <w:sz w:val="18"/>
        </w:rPr>
        <w:br w:type="page"/>
      </w:r>
    </w:p>
    <w:p w14:paraId="26A537AD" w14:textId="3B8C0874" w:rsidR="00291C90" w:rsidRPr="000A4C59" w:rsidRDefault="00291C90" w:rsidP="00291C90">
      <w:pPr>
        <w:rPr>
          <w:rFonts w:ascii="Century Gothic" w:hAnsi="Century Gothic" w:cs="Times New Roman"/>
          <w:b/>
          <w:color w:val="0070C0"/>
        </w:rPr>
      </w:pPr>
      <w:r w:rsidRPr="000A4C59">
        <w:rPr>
          <w:rFonts w:ascii="Century Gothic" w:hAnsi="Century Gothic" w:cs="Times New Roman"/>
          <w:b/>
          <w:color w:val="0070C0"/>
        </w:rPr>
        <w:lastRenderedPageBreak/>
        <w:t xml:space="preserve">Annexe </w:t>
      </w:r>
      <w:r w:rsidR="003820BE" w:rsidRPr="000A4C59">
        <w:rPr>
          <w:rFonts w:ascii="Century Gothic" w:hAnsi="Century Gothic" w:cs="Times New Roman"/>
          <w:b/>
          <w:color w:val="0070C0"/>
        </w:rPr>
        <w:t>7</w:t>
      </w:r>
      <w:r w:rsidRPr="000A4C59">
        <w:rPr>
          <w:rFonts w:ascii="Century Gothic" w:hAnsi="Century Gothic" w:cs="Times New Roman"/>
          <w:b/>
          <w:color w:val="0070C0"/>
        </w:rPr>
        <w:t>.2 - Exigences minimales d’une procédure L</w:t>
      </w:r>
      <w:r w:rsidR="00ED6DDA" w:rsidRPr="000A4C59">
        <w:rPr>
          <w:rFonts w:ascii="Century Gothic" w:hAnsi="Century Gothic" w:cs="Times New Roman"/>
          <w:b/>
          <w:color w:val="0070C0"/>
        </w:rPr>
        <w:t>C</w:t>
      </w:r>
      <w:r w:rsidRPr="000A4C59">
        <w:rPr>
          <w:rFonts w:ascii="Century Gothic" w:hAnsi="Century Gothic" w:cs="Times New Roman"/>
          <w:b/>
          <w:color w:val="0070C0"/>
        </w:rPr>
        <w:t>B-FT au sein d’une institution de microfinance</w:t>
      </w:r>
    </w:p>
    <w:p w14:paraId="2B559CE6" w14:textId="77777777" w:rsidR="00291C90" w:rsidRPr="00EC2D0F" w:rsidRDefault="00291C90" w:rsidP="00ED6DDA">
      <w:pPr>
        <w:jc w:val="both"/>
        <w:rPr>
          <w:rFonts w:ascii="Century Gothic" w:hAnsi="Century Gothic" w:cs="Times New Roman"/>
          <w:sz w:val="18"/>
        </w:rPr>
      </w:pPr>
    </w:p>
    <w:p w14:paraId="0E70EE1D" w14:textId="77777777" w:rsidR="00291C90" w:rsidRPr="00EC2D0F" w:rsidRDefault="00291C90" w:rsidP="00116BCC">
      <w:pPr>
        <w:spacing w:after="120"/>
        <w:ind w:firstLine="708"/>
        <w:jc w:val="both"/>
        <w:rPr>
          <w:rFonts w:ascii="Century Gothic" w:hAnsi="Century Gothic" w:cs="Times New Roman"/>
          <w:sz w:val="18"/>
        </w:rPr>
      </w:pPr>
      <w:r w:rsidRPr="00EC2D0F">
        <w:rPr>
          <w:rFonts w:ascii="Century Gothic" w:hAnsi="Century Gothic" w:cs="Times New Roman"/>
          <w:sz w:val="18"/>
        </w:rPr>
        <w:t xml:space="preserve">Ce document constitue un cadre de référence pour </w:t>
      </w:r>
      <w:r w:rsidR="00ED6DDA" w:rsidRPr="00EC2D0F">
        <w:rPr>
          <w:rFonts w:ascii="Century Gothic" w:hAnsi="Century Gothic" w:cs="Times New Roman"/>
          <w:sz w:val="18"/>
        </w:rPr>
        <w:t>l’élaboration d’une procédure LC</w:t>
      </w:r>
      <w:r w:rsidRPr="00EC2D0F">
        <w:rPr>
          <w:rFonts w:ascii="Century Gothic" w:hAnsi="Century Gothic" w:cs="Times New Roman"/>
          <w:sz w:val="18"/>
        </w:rPr>
        <w:t>B-FT par une institution de microfinance (IMF) ou par une entité exerçant une telle activité, quel que soit son statut. Par IMF, on vise traditionnellement toute entité qui fournit des services financiers à des populations peu ou pas bancarisées, pour qui la moyenne des crédits octroyés par bénéficiaire doit être inférieure à 10 000 euros.</w:t>
      </w:r>
    </w:p>
    <w:p w14:paraId="1D6B77C0" w14:textId="77777777" w:rsidR="00291C90" w:rsidRPr="00EC2D0F" w:rsidRDefault="00291C90" w:rsidP="00116BCC">
      <w:pPr>
        <w:spacing w:after="120"/>
        <w:ind w:firstLine="708"/>
        <w:jc w:val="both"/>
        <w:rPr>
          <w:rFonts w:ascii="Century Gothic" w:hAnsi="Century Gothic" w:cs="Times New Roman"/>
          <w:sz w:val="18"/>
        </w:rPr>
      </w:pPr>
      <w:r w:rsidRPr="00EC2D0F">
        <w:rPr>
          <w:rFonts w:ascii="Century Gothic" w:hAnsi="Century Gothic" w:cs="Times New Roman"/>
          <w:sz w:val="18"/>
        </w:rPr>
        <w:t xml:space="preserve">La </w:t>
      </w:r>
      <w:r w:rsidR="00ED6DDA" w:rsidRPr="00EC2D0F">
        <w:rPr>
          <w:rFonts w:ascii="Century Gothic" w:hAnsi="Century Gothic" w:cs="Times New Roman"/>
          <w:sz w:val="18"/>
        </w:rPr>
        <w:t>première</w:t>
      </w:r>
      <w:r w:rsidRPr="00EC2D0F">
        <w:rPr>
          <w:rFonts w:ascii="Century Gothic" w:hAnsi="Century Gothic" w:cs="Times New Roman"/>
          <w:sz w:val="18"/>
        </w:rPr>
        <w:t xml:space="preserve"> étape de la </w:t>
      </w:r>
      <w:r w:rsidR="00ED6DDA" w:rsidRPr="00EC2D0F">
        <w:rPr>
          <w:rFonts w:ascii="Century Gothic" w:hAnsi="Century Gothic" w:cs="Times New Roman"/>
          <w:sz w:val="18"/>
        </w:rPr>
        <w:t>mise en place d’un dispositif LC</w:t>
      </w:r>
      <w:r w:rsidRPr="00EC2D0F">
        <w:rPr>
          <w:rFonts w:ascii="Century Gothic" w:hAnsi="Century Gothic" w:cs="Times New Roman"/>
          <w:sz w:val="18"/>
        </w:rPr>
        <w:t>B-FT dans une IMF est constituée par la nomi</w:t>
      </w:r>
      <w:r w:rsidR="00ED6DDA" w:rsidRPr="00EC2D0F">
        <w:rPr>
          <w:rFonts w:ascii="Century Gothic" w:hAnsi="Century Gothic" w:cs="Times New Roman"/>
          <w:sz w:val="18"/>
        </w:rPr>
        <w:t>nation d’un responsable spécifiquement en charge de la LC</w:t>
      </w:r>
      <w:r w:rsidRPr="00EC2D0F">
        <w:rPr>
          <w:rFonts w:ascii="Century Gothic" w:hAnsi="Century Gothic" w:cs="Times New Roman"/>
          <w:sz w:val="18"/>
        </w:rPr>
        <w:t>B-FT ou par l’attribution de cette fonction à une personne nommément désignée.</w:t>
      </w:r>
    </w:p>
    <w:p w14:paraId="3EDDB07B" w14:textId="77777777" w:rsidR="00291C90" w:rsidRPr="00EC2D0F" w:rsidRDefault="00291C90" w:rsidP="00116BCC">
      <w:pPr>
        <w:spacing w:after="120"/>
        <w:ind w:firstLine="708"/>
        <w:jc w:val="both"/>
        <w:rPr>
          <w:rFonts w:ascii="Century Gothic" w:hAnsi="Century Gothic" w:cs="Times New Roman"/>
          <w:sz w:val="18"/>
        </w:rPr>
      </w:pPr>
      <w:r w:rsidRPr="00EC2D0F">
        <w:rPr>
          <w:rFonts w:ascii="Century Gothic" w:hAnsi="Century Gothic" w:cs="Times New Roman"/>
          <w:sz w:val="18"/>
        </w:rPr>
        <w:t xml:space="preserve">La seconde étape consiste en l’adoption par l’IMF d’une procédure en matière </w:t>
      </w:r>
      <w:r w:rsidR="00092CA8" w:rsidRPr="00EC2D0F">
        <w:rPr>
          <w:rFonts w:ascii="Century Gothic" w:hAnsi="Century Gothic" w:cs="Times New Roman"/>
          <w:sz w:val="18"/>
        </w:rPr>
        <w:t>LCB</w:t>
      </w:r>
      <w:r w:rsidRPr="00EC2D0F">
        <w:rPr>
          <w:rFonts w:ascii="Century Gothic" w:hAnsi="Century Gothic" w:cs="Times New Roman"/>
          <w:sz w:val="18"/>
        </w:rPr>
        <w:t>-FT. Celle-ci devra prescrire un certain nombre de points de contrôle aux fins suivantes : i/ identification du client, ii/ connaissance du client, iii/ suivi des clients et des opérations, iv/ traçabilité et conservation des données, v/ identification des PPE, vi/ déclaration de soupçon, v</w:t>
      </w:r>
      <w:r w:rsidR="00ED6DDA" w:rsidRPr="00EC2D0F">
        <w:rPr>
          <w:rFonts w:ascii="Century Gothic" w:hAnsi="Century Gothic" w:cs="Times New Roman"/>
          <w:sz w:val="18"/>
        </w:rPr>
        <w:t xml:space="preserve">ii/ identification du personnel </w:t>
      </w:r>
      <w:r w:rsidR="000476BB" w:rsidRPr="00EC2D0F">
        <w:rPr>
          <w:rFonts w:ascii="Century Gothic" w:hAnsi="Century Gothic" w:cs="Times New Roman"/>
          <w:sz w:val="18"/>
        </w:rPr>
        <w:t>et</w:t>
      </w:r>
      <w:r w:rsidRPr="00EC2D0F">
        <w:rPr>
          <w:rFonts w:ascii="Century Gothic" w:hAnsi="Century Gothic" w:cs="Times New Roman"/>
          <w:sz w:val="18"/>
        </w:rPr>
        <w:t xml:space="preserve"> formation.</w:t>
      </w:r>
    </w:p>
    <w:p w14:paraId="59C82D35" w14:textId="77777777" w:rsidR="00291C90" w:rsidRPr="00EC2D0F" w:rsidRDefault="00291C90" w:rsidP="00116BCC">
      <w:pPr>
        <w:spacing w:after="120"/>
        <w:ind w:firstLine="360"/>
        <w:jc w:val="both"/>
        <w:rPr>
          <w:rFonts w:ascii="Century Gothic" w:hAnsi="Century Gothic" w:cs="Times New Roman"/>
          <w:sz w:val="18"/>
        </w:rPr>
      </w:pPr>
      <w:r w:rsidRPr="00EC2D0F">
        <w:rPr>
          <w:rFonts w:ascii="Century Gothic" w:hAnsi="Century Gothic" w:cs="Times New Roman"/>
          <w:sz w:val="18"/>
        </w:rPr>
        <w:t>La bonn</w:t>
      </w:r>
      <w:r w:rsidR="00ED6DDA" w:rsidRPr="00EC2D0F">
        <w:rPr>
          <w:rFonts w:ascii="Century Gothic" w:hAnsi="Century Gothic" w:cs="Times New Roman"/>
          <w:sz w:val="18"/>
        </w:rPr>
        <w:t>e application de la procédure LC</w:t>
      </w:r>
      <w:r w:rsidRPr="00EC2D0F">
        <w:rPr>
          <w:rFonts w:ascii="Century Gothic" w:hAnsi="Century Gothic" w:cs="Times New Roman"/>
          <w:sz w:val="18"/>
        </w:rPr>
        <w:t>B-FT de l’IMF implique une formation des personnels à son contenu et une sensibilisation régulière de ces derniers à la lutte contre le</w:t>
      </w:r>
      <w:r w:rsidR="00ED6DDA" w:rsidRPr="00EC2D0F">
        <w:rPr>
          <w:rFonts w:ascii="Century Gothic" w:hAnsi="Century Gothic" w:cs="Times New Roman"/>
          <w:sz w:val="18"/>
        </w:rPr>
        <w:t xml:space="preserve"> blanchiment et le financement du</w:t>
      </w:r>
      <w:r w:rsidRPr="00EC2D0F">
        <w:rPr>
          <w:rFonts w:ascii="Century Gothic" w:hAnsi="Century Gothic" w:cs="Times New Roman"/>
          <w:sz w:val="18"/>
        </w:rPr>
        <w:t xml:space="preserve"> terrorisme.</w:t>
      </w:r>
    </w:p>
    <w:p w14:paraId="6F7B31E1" w14:textId="77777777" w:rsidR="00291C90" w:rsidRPr="00EC2D0F" w:rsidRDefault="00291C90" w:rsidP="00116BCC">
      <w:pPr>
        <w:spacing w:after="120"/>
        <w:jc w:val="both"/>
        <w:rPr>
          <w:rFonts w:ascii="Century Gothic" w:hAnsi="Century Gothic" w:cs="Times New Roman"/>
          <w:sz w:val="18"/>
        </w:rPr>
      </w:pPr>
    </w:p>
    <w:p w14:paraId="64356698" w14:textId="77777777" w:rsidR="00ED6DDA" w:rsidRPr="00EC2D0F" w:rsidRDefault="00ED6DDA" w:rsidP="00116BCC">
      <w:pPr>
        <w:pStyle w:val="Paragraphedeliste"/>
        <w:numPr>
          <w:ilvl w:val="0"/>
          <w:numId w:val="8"/>
        </w:numPr>
        <w:spacing w:after="120"/>
        <w:ind w:left="709" w:hanging="349"/>
        <w:jc w:val="both"/>
        <w:rPr>
          <w:rFonts w:ascii="Century Gothic" w:hAnsi="Century Gothic" w:cs="Times New Roman"/>
          <w:b/>
          <w:sz w:val="18"/>
        </w:rPr>
      </w:pPr>
      <w:r w:rsidRPr="00EC2D0F">
        <w:rPr>
          <w:rFonts w:ascii="Century Gothic" w:hAnsi="Century Gothic" w:cs="Times New Roman"/>
          <w:b/>
          <w:sz w:val="18"/>
        </w:rPr>
        <w:t>La lutte contre le blanchiment et le financement du terrorisme au sein d’une IMF : organisation fonctionnelle</w:t>
      </w:r>
    </w:p>
    <w:p w14:paraId="6FADB7BF" w14:textId="77777777" w:rsidR="00ED6DDA" w:rsidRPr="00EC2D0F" w:rsidRDefault="00ED6DDA" w:rsidP="00116BCC">
      <w:pPr>
        <w:spacing w:after="120"/>
        <w:jc w:val="both"/>
        <w:rPr>
          <w:rFonts w:ascii="Century Gothic" w:hAnsi="Century Gothic" w:cs="Times New Roman"/>
          <w:sz w:val="18"/>
        </w:rPr>
      </w:pPr>
    </w:p>
    <w:p w14:paraId="766F151E"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Toute IMF doit avoir désigné une personne en charge de la lutte contre le blanchiment et le financement du terrorisme, qui ne doit pas assurer de fonctions opérationnelles. Celle-ci est dotée notamment des missions suivantes :</w:t>
      </w:r>
    </w:p>
    <w:p w14:paraId="1E8A0E1F" w14:textId="2C37878D" w:rsidR="00ED6DDA" w:rsidRPr="00EC2D0F" w:rsidRDefault="0015262F" w:rsidP="00116BCC">
      <w:pPr>
        <w:pStyle w:val="Paragraphedeliste"/>
        <w:numPr>
          <w:ilvl w:val="0"/>
          <w:numId w:val="9"/>
        </w:numPr>
        <w:spacing w:after="120"/>
        <w:jc w:val="both"/>
        <w:rPr>
          <w:rFonts w:ascii="Century Gothic" w:hAnsi="Century Gothic" w:cs="Times New Roman"/>
          <w:sz w:val="18"/>
        </w:rPr>
      </w:pPr>
      <w:r w:rsidRPr="00EC2D0F">
        <w:rPr>
          <w:rFonts w:ascii="Century Gothic" w:hAnsi="Century Gothic" w:cs="Times New Roman"/>
          <w:sz w:val="18"/>
        </w:rPr>
        <w:t>Conception</w:t>
      </w:r>
      <w:r w:rsidR="00ED6DDA" w:rsidRPr="00EC2D0F">
        <w:rPr>
          <w:rFonts w:ascii="Century Gothic" w:hAnsi="Century Gothic" w:cs="Times New Roman"/>
          <w:sz w:val="18"/>
        </w:rPr>
        <w:t xml:space="preserve"> et mise à jour des procédures </w:t>
      </w:r>
      <w:r w:rsidR="00092CA8" w:rsidRPr="00EC2D0F">
        <w:rPr>
          <w:rFonts w:ascii="Century Gothic" w:hAnsi="Century Gothic" w:cs="Times New Roman"/>
          <w:sz w:val="18"/>
        </w:rPr>
        <w:t>LCB</w:t>
      </w:r>
      <w:r w:rsidR="00ED6DDA" w:rsidRPr="00EC2D0F">
        <w:rPr>
          <w:rFonts w:ascii="Century Gothic" w:hAnsi="Century Gothic" w:cs="Times New Roman"/>
          <w:sz w:val="18"/>
        </w:rPr>
        <w:t>-FT de l’institution, des procédures de conservation des pièces, des procédures de détection des transactions inhabituelles ou suspectes et des procédures de respect de l’obligation de déclaration,</w:t>
      </w:r>
    </w:p>
    <w:p w14:paraId="314C763B" w14:textId="6E6C6252" w:rsidR="00ED6DDA" w:rsidRPr="00EC2D0F" w:rsidRDefault="0015262F" w:rsidP="00116BCC">
      <w:pPr>
        <w:pStyle w:val="Paragraphedeliste"/>
        <w:numPr>
          <w:ilvl w:val="0"/>
          <w:numId w:val="9"/>
        </w:numPr>
        <w:spacing w:after="120"/>
        <w:jc w:val="both"/>
        <w:rPr>
          <w:rFonts w:ascii="Century Gothic" w:hAnsi="Century Gothic" w:cs="Times New Roman"/>
          <w:sz w:val="18"/>
        </w:rPr>
      </w:pPr>
      <w:r w:rsidRPr="00EC2D0F">
        <w:rPr>
          <w:rFonts w:ascii="Century Gothic" w:hAnsi="Century Gothic" w:cs="Times New Roman"/>
          <w:sz w:val="18"/>
        </w:rPr>
        <w:t>Analyse</w:t>
      </w:r>
      <w:r w:rsidR="00ED6DDA" w:rsidRPr="00EC2D0F">
        <w:rPr>
          <w:rFonts w:ascii="Century Gothic" w:hAnsi="Century Gothic" w:cs="Times New Roman"/>
          <w:sz w:val="18"/>
        </w:rPr>
        <w:t xml:space="preserve"> et conservation des dossiers en anomalie transmis par le réseau commercial,</w:t>
      </w:r>
    </w:p>
    <w:p w14:paraId="5D608D66" w14:textId="0957FCD9" w:rsidR="00ED6DDA" w:rsidRPr="00EC2D0F" w:rsidRDefault="0015262F" w:rsidP="00116BCC">
      <w:pPr>
        <w:pStyle w:val="Paragraphedeliste"/>
        <w:numPr>
          <w:ilvl w:val="0"/>
          <w:numId w:val="9"/>
        </w:numPr>
        <w:spacing w:after="120"/>
        <w:jc w:val="both"/>
        <w:rPr>
          <w:rFonts w:ascii="Century Gothic" w:hAnsi="Century Gothic" w:cs="Times New Roman"/>
          <w:sz w:val="18"/>
        </w:rPr>
      </w:pPr>
      <w:r w:rsidRPr="00EC2D0F">
        <w:rPr>
          <w:rFonts w:ascii="Century Gothic" w:hAnsi="Century Gothic" w:cs="Times New Roman"/>
          <w:sz w:val="18"/>
        </w:rPr>
        <w:t>Réalisation</w:t>
      </w:r>
      <w:r w:rsidR="00ED6DDA" w:rsidRPr="00EC2D0F">
        <w:rPr>
          <w:rFonts w:ascii="Century Gothic" w:hAnsi="Century Gothic" w:cs="Times New Roman"/>
          <w:sz w:val="18"/>
        </w:rPr>
        <w:t xml:space="preserve"> des contrôles de second niveau concernant la </w:t>
      </w:r>
      <w:r w:rsidR="00092CA8" w:rsidRPr="00EC2D0F">
        <w:rPr>
          <w:rFonts w:ascii="Century Gothic" w:hAnsi="Century Gothic" w:cs="Times New Roman"/>
          <w:sz w:val="18"/>
        </w:rPr>
        <w:t>LCB</w:t>
      </w:r>
      <w:r w:rsidR="00ED6DDA" w:rsidRPr="00EC2D0F">
        <w:rPr>
          <w:rFonts w:ascii="Century Gothic" w:hAnsi="Century Gothic" w:cs="Times New Roman"/>
          <w:sz w:val="18"/>
        </w:rPr>
        <w:t>-FT,</w:t>
      </w:r>
    </w:p>
    <w:p w14:paraId="5C1D6555" w14:textId="02A5DD77" w:rsidR="00ED6DDA" w:rsidRPr="00EC2D0F" w:rsidRDefault="0015262F" w:rsidP="00116BCC">
      <w:pPr>
        <w:pStyle w:val="Paragraphedeliste"/>
        <w:numPr>
          <w:ilvl w:val="0"/>
          <w:numId w:val="9"/>
        </w:numPr>
        <w:spacing w:after="120"/>
        <w:jc w:val="both"/>
        <w:rPr>
          <w:rFonts w:ascii="Century Gothic" w:hAnsi="Century Gothic" w:cs="Times New Roman"/>
          <w:sz w:val="18"/>
        </w:rPr>
      </w:pPr>
      <w:r w:rsidRPr="00EC2D0F">
        <w:rPr>
          <w:rFonts w:ascii="Century Gothic" w:hAnsi="Century Gothic" w:cs="Times New Roman"/>
          <w:sz w:val="18"/>
        </w:rPr>
        <w:t>Conception</w:t>
      </w:r>
      <w:r w:rsidR="00ED6DDA" w:rsidRPr="00EC2D0F">
        <w:rPr>
          <w:rFonts w:ascii="Century Gothic" w:hAnsi="Century Gothic" w:cs="Times New Roman"/>
          <w:sz w:val="18"/>
        </w:rPr>
        <w:t xml:space="preserve">, animation et mise à jour des formations </w:t>
      </w:r>
      <w:r w:rsidR="00092CA8" w:rsidRPr="00EC2D0F">
        <w:rPr>
          <w:rFonts w:ascii="Century Gothic" w:hAnsi="Century Gothic" w:cs="Times New Roman"/>
          <w:sz w:val="18"/>
        </w:rPr>
        <w:t>LCB</w:t>
      </w:r>
      <w:r w:rsidR="00ED6DDA" w:rsidRPr="00EC2D0F">
        <w:rPr>
          <w:rFonts w:ascii="Century Gothic" w:hAnsi="Century Gothic" w:cs="Times New Roman"/>
          <w:sz w:val="18"/>
        </w:rPr>
        <w:t>-FT destinées au personnel,</w:t>
      </w:r>
    </w:p>
    <w:p w14:paraId="6EC56191" w14:textId="6AA1A99B" w:rsidR="00ED6DDA" w:rsidRPr="00EC2D0F" w:rsidRDefault="0015262F" w:rsidP="00116BCC">
      <w:pPr>
        <w:pStyle w:val="Paragraphedeliste"/>
        <w:numPr>
          <w:ilvl w:val="0"/>
          <w:numId w:val="9"/>
        </w:numPr>
        <w:spacing w:after="120"/>
        <w:jc w:val="both"/>
        <w:rPr>
          <w:rFonts w:ascii="Century Gothic" w:hAnsi="Century Gothic" w:cs="Times New Roman"/>
          <w:sz w:val="18"/>
        </w:rPr>
      </w:pPr>
      <w:r w:rsidRPr="00EC2D0F">
        <w:rPr>
          <w:rFonts w:ascii="Century Gothic" w:hAnsi="Century Gothic" w:cs="Times New Roman"/>
          <w:sz w:val="18"/>
        </w:rPr>
        <w:t>Réalisation</w:t>
      </w:r>
      <w:r w:rsidR="00ED6DDA" w:rsidRPr="00EC2D0F">
        <w:rPr>
          <w:rFonts w:ascii="Century Gothic" w:hAnsi="Century Gothic" w:cs="Times New Roman"/>
          <w:sz w:val="18"/>
        </w:rPr>
        <w:t xml:space="preserve"> des déclarations d’opérations particulières/suspectes auprès des autorités compétentes, en particulier celles ne pré- sentant pas un caractère économique ou un objet licite.</w:t>
      </w:r>
    </w:p>
    <w:p w14:paraId="253CE2E6"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La personne en charge de la LCB-FT est épaulée dans sa mission par le réseau commercial de l’IMF, composé de guichetiers, de caissiers et d’agents de crédit, en contact direct avec la clientèle. Ces différentes personnes sont en charge des contrôles de premier niveau en matière de connaissance du client. Ils assurent également le suivi de la relation d’affaires nouée avec ce client, en mettant à jour régulièrement les éléments d’identification et de connaissance du client.</w:t>
      </w:r>
    </w:p>
    <w:p w14:paraId="2BD968B3" w14:textId="77777777" w:rsidR="00ED6DDA" w:rsidRPr="00EC2D0F" w:rsidRDefault="00ED6DDA" w:rsidP="00116BCC">
      <w:pPr>
        <w:spacing w:after="120"/>
        <w:jc w:val="both"/>
        <w:rPr>
          <w:rFonts w:ascii="Century Gothic" w:hAnsi="Century Gothic" w:cs="Times New Roman"/>
          <w:b/>
          <w:sz w:val="18"/>
        </w:rPr>
      </w:pPr>
    </w:p>
    <w:p w14:paraId="4E925805" w14:textId="77777777" w:rsidR="00ED6DDA" w:rsidRPr="00EC2D0F" w:rsidRDefault="00ED6DDA" w:rsidP="00116BCC">
      <w:pPr>
        <w:pStyle w:val="Paragraphedeliste"/>
        <w:numPr>
          <w:ilvl w:val="0"/>
          <w:numId w:val="8"/>
        </w:numPr>
        <w:spacing w:after="120"/>
        <w:ind w:left="709" w:hanging="349"/>
        <w:jc w:val="both"/>
        <w:rPr>
          <w:rFonts w:ascii="Century Gothic" w:hAnsi="Century Gothic" w:cs="Times New Roman"/>
          <w:b/>
          <w:sz w:val="18"/>
        </w:rPr>
      </w:pPr>
      <w:r w:rsidRPr="00EC2D0F">
        <w:rPr>
          <w:rFonts w:ascii="Century Gothic" w:hAnsi="Century Gothic" w:cs="Times New Roman"/>
          <w:b/>
          <w:sz w:val="18"/>
        </w:rPr>
        <w:t xml:space="preserve">Adoption d’une procédure </w:t>
      </w:r>
      <w:r w:rsidR="00092CA8" w:rsidRPr="00EC2D0F">
        <w:rPr>
          <w:rFonts w:ascii="Century Gothic" w:hAnsi="Century Gothic" w:cs="Times New Roman"/>
          <w:b/>
          <w:sz w:val="18"/>
        </w:rPr>
        <w:t>LCB</w:t>
      </w:r>
      <w:r w:rsidRPr="00EC2D0F">
        <w:rPr>
          <w:rFonts w:ascii="Century Gothic" w:hAnsi="Century Gothic" w:cs="Times New Roman"/>
          <w:b/>
          <w:sz w:val="18"/>
        </w:rPr>
        <w:t>-FT : les exigences minimales</w:t>
      </w:r>
    </w:p>
    <w:p w14:paraId="5F478C1C" w14:textId="77777777" w:rsidR="00ED6DDA" w:rsidRPr="00EC2D0F" w:rsidRDefault="00ED6DDA" w:rsidP="00116BCC">
      <w:pPr>
        <w:spacing w:after="120"/>
        <w:jc w:val="both"/>
        <w:rPr>
          <w:rFonts w:ascii="Century Gothic" w:hAnsi="Century Gothic" w:cs="Times New Roman"/>
          <w:sz w:val="18"/>
        </w:rPr>
      </w:pPr>
    </w:p>
    <w:p w14:paraId="56D6F546" w14:textId="77777777" w:rsidR="00116BCC" w:rsidRPr="00EC2D0F" w:rsidRDefault="00ED6DDA" w:rsidP="00116BCC">
      <w:pPr>
        <w:pStyle w:val="Paragraphedeliste"/>
        <w:numPr>
          <w:ilvl w:val="0"/>
          <w:numId w:val="11"/>
        </w:numPr>
        <w:spacing w:after="120"/>
        <w:jc w:val="both"/>
        <w:rPr>
          <w:rFonts w:ascii="Century Gothic" w:hAnsi="Century Gothic" w:cs="Times New Roman"/>
          <w:b/>
          <w:sz w:val="18"/>
        </w:rPr>
      </w:pPr>
      <w:r w:rsidRPr="00EC2D0F">
        <w:rPr>
          <w:rFonts w:ascii="Century Gothic" w:hAnsi="Century Gothic" w:cs="Times New Roman"/>
          <w:b/>
          <w:sz w:val="18"/>
        </w:rPr>
        <w:t>L’identification du client</w:t>
      </w:r>
    </w:p>
    <w:p w14:paraId="0F8C55E0"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Dès l’entrée en relation avec un client personne physique, l’agent de crédit de l’IMF doit s’assurer :</w:t>
      </w:r>
    </w:p>
    <w:p w14:paraId="15C724E1" w14:textId="0A00645E" w:rsidR="00ED6DDA" w:rsidRPr="00EC2D0F" w:rsidRDefault="00ED6DDA" w:rsidP="00116BCC">
      <w:pPr>
        <w:pStyle w:val="Paragraphedeliste"/>
        <w:numPr>
          <w:ilvl w:val="0"/>
          <w:numId w:val="12"/>
        </w:numPr>
        <w:spacing w:after="120"/>
        <w:jc w:val="both"/>
        <w:rPr>
          <w:rFonts w:ascii="Century Gothic" w:hAnsi="Century Gothic" w:cs="Times New Roman"/>
          <w:sz w:val="18"/>
        </w:rPr>
      </w:pPr>
      <w:r w:rsidRPr="00EC2D0F">
        <w:rPr>
          <w:rFonts w:ascii="Century Gothic" w:hAnsi="Century Gothic" w:cs="Times New Roman"/>
          <w:sz w:val="18"/>
        </w:rPr>
        <w:t xml:space="preserve">De l’identité du client qui doit </w:t>
      </w:r>
      <w:r w:rsidR="0015262F" w:rsidRPr="00EC2D0F">
        <w:rPr>
          <w:rFonts w:ascii="Century Gothic" w:hAnsi="Century Gothic" w:cs="Times New Roman"/>
          <w:sz w:val="18"/>
        </w:rPr>
        <w:t>ne se présenter en personne</w:t>
      </w:r>
      <w:r w:rsidRPr="00EC2D0F">
        <w:rPr>
          <w:rFonts w:ascii="Century Gothic" w:hAnsi="Century Gothic" w:cs="Times New Roman"/>
          <w:sz w:val="18"/>
        </w:rPr>
        <w:t xml:space="preserve"> et produire un document officiel d’identité, sans ratures ni grattages, en cours de validité et comportant une photo ressemblante. Une copie recto-verso du document avec la photo doit être conservée au dossier du client. </w:t>
      </w:r>
      <w:r w:rsidRPr="00EC2D0F">
        <w:rPr>
          <w:rFonts w:ascii="Century Gothic" w:hAnsi="Century Gothic" w:cs="Times New Roman"/>
          <w:sz w:val="18"/>
        </w:rPr>
        <w:lastRenderedPageBreak/>
        <w:t>L’identité du client peut aussi être obtenue par des mécanismes de biométrie mis en place par l’IMF, là où les clients ne disposent pas d’état civil. En tout état de cause, aucun compte ne peut être ouvert sous un nom fictif.</w:t>
      </w:r>
    </w:p>
    <w:p w14:paraId="13DE8F8D" w14:textId="77777777" w:rsidR="00ED6DDA" w:rsidRPr="00EC2D0F" w:rsidRDefault="00ED6DDA" w:rsidP="00116BCC">
      <w:pPr>
        <w:pStyle w:val="Paragraphedeliste"/>
        <w:spacing w:after="120"/>
        <w:jc w:val="both"/>
        <w:rPr>
          <w:rFonts w:ascii="Century Gothic" w:hAnsi="Century Gothic" w:cs="Times New Roman"/>
          <w:sz w:val="18"/>
        </w:rPr>
      </w:pPr>
      <w:r w:rsidRPr="00EC2D0F">
        <w:rPr>
          <w:rFonts w:ascii="Century Gothic" w:hAnsi="Century Gothic" w:cs="Times New Roman"/>
          <w:sz w:val="18"/>
        </w:rPr>
        <w:t>En cas d’absence de document officiel ou d’outil technologique disponible, l’agent doit s’assurer par tout autre moyen de l’identité du client (par exemple, enquête de voisinage).</w:t>
      </w:r>
    </w:p>
    <w:p w14:paraId="5C35D675" w14:textId="77777777" w:rsidR="00ED6DDA" w:rsidRPr="00EC2D0F" w:rsidRDefault="00ED6DDA" w:rsidP="00116BCC">
      <w:pPr>
        <w:pStyle w:val="Paragraphedeliste"/>
        <w:spacing w:after="120"/>
        <w:jc w:val="both"/>
        <w:rPr>
          <w:rFonts w:ascii="Century Gothic" w:hAnsi="Century Gothic" w:cs="Times New Roman"/>
          <w:sz w:val="18"/>
        </w:rPr>
      </w:pPr>
      <w:r w:rsidRPr="00EC2D0F">
        <w:rPr>
          <w:rFonts w:ascii="Century Gothic" w:hAnsi="Century Gothic" w:cs="Times New Roman"/>
          <w:sz w:val="18"/>
        </w:rPr>
        <w:t>Il doit rechercher, le cas échéant, le bénéficiaire effectif du concours, c’est-à-dire la personne physique pour le compte de laquelle l’opération ou la transaction est en réalité réalisée.</w:t>
      </w:r>
    </w:p>
    <w:p w14:paraId="1871363A" w14:textId="77777777" w:rsidR="00ED6DDA" w:rsidRPr="00EC2D0F" w:rsidRDefault="00ED6DDA" w:rsidP="00116BCC">
      <w:pPr>
        <w:pStyle w:val="Paragraphedeliste"/>
        <w:numPr>
          <w:ilvl w:val="0"/>
          <w:numId w:val="12"/>
        </w:numPr>
        <w:spacing w:after="120"/>
        <w:jc w:val="both"/>
        <w:rPr>
          <w:rFonts w:ascii="Century Gothic" w:hAnsi="Century Gothic" w:cs="Times New Roman"/>
          <w:sz w:val="18"/>
        </w:rPr>
      </w:pPr>
      <w:r w:rsidRPr="00EC2D0F">
        <w:rPr>
          <w:rFonts w:ascii="Century Gothic" w:hAnsi="Century Gothic" w:cs="Times New Roman"/>
          <w:sz w:val="18"/>
        </w:rPr>
        <w:t>Du domicile du client par la production d’un document officiel (bail, titre de propriété, factures d’eau ou d’électricité, certificat d’hébergement). En l’absence de document officiel, l’agent de crédit peut avoir recours à une enquête de voisinage qui aura pour objet de vérifier l’effectivité de la localisation du domicile et/ou du local d’activité du client.</w:t>
      </w:r>
    </w:p>
    <w:p w14:paraId="4A39FBE1"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Les mêmes diligences s’appliquent en cas de personnes morales (enregistrement auprès du registre du commerce ou équivalent, statut, identification des actionnaires, recherche du bénéficiaire effectif).</w:t>
      </w:r>
    </w:p>
    <w:p w14:paraId="2D80B20B"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L’ensemble de ces éléments sont consignés par écrit dans le dossier d’instruction du client et les copies des documents collectés sont dûment conservées.</w:t>
      </w:r>
    </w:p>
    <w:p w14:paraId="3D3B1887" w14:textId="77777777" w:rsidR="00ED6DDA" w:rsidRPr="00EC2D0F" w:rsidRDefault="00ED6DDA" w:rsidP="00116BCC">
      <w:pPr>
        <w:spacing w:after="120"/>
        <w:jc w:val="both"/>
        <w:rPr>
          <w:rFonts w:ascii="Century Gothic" w:hAnsi="Century Gothic" w:cs="Times New Roman"/>
          <w:b/>
          <w:sz w:val="18"/>
        </w:rPr>
      </w:pPr>
    </w:p>
    <w:p w14:paraId="1F28C64A"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La connaissance du client</w:t>
      </w:r>
    </w:p>
    <w:p w14:paraId="7A4BD727"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L’agent de crédit de l’IMF doit tracer le profil comportemental de la relation avec le client. Il doit s’assurer non seulement que le client ne figure pas sur les listes de sanctions, quand il y a lieu, mais également que l’activité concernée par le projet est réelle.</w:t>
      </w:r>
    </w:p>
    <w:p w14:paraId="4A89DDF1"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À l’entrée en relation et avant l’octroi du prêt, l’agent doit collecter des informations (et conserver les justificatifs correspondants dans le dossier d’instruction du client) sur les éléments patrimoniaux et financiers du client :</w:t>
      </w:r>
    </w:p>
    <w:p w14:paraId="26143A3F" w14:textId="43256DB8" w:rsidR="00ED6DDA" w:rsidRPr="00EC2D0F" w:rsidRDefault="0015262F" w:rsidP="00116BCC">
      <w:pPr>
        <w:pStyle w:val="Paragraphedeliste"/>
        <w:numPr>
          <w:ilvl w:val="0"/>
          <w:numId w:val="12"/>
        </w:numPr>
        <w:spacing w:after="120"/>
        <w:jc w:val="both"/>
        <w:rPr>
          <w:rFonts w:ascii="Century Gothic" w:hAnsi="Century Gothic" w:cs="Times New Roman"/>
          <w:sz w:val="18"/>
        </w:rPr>
      </w:pPr>
      <w:r w:rsidRPr="00EC2D0F">
        <w:rPr>
          <w:rFonts w:ascii="Century Gothic" w:hAnsi="Century Gothic" w:cs="Times New Roman"/>
          <w:sz w:val="18"/>
        </w:rPr>
        <w:t>La</w:t>
      </w:r>
      <w:r w:rsidR="00ED6DDA" w:rsidRPr="00EC2D0F">
        <w:rPr>
          <w:rFonts w:ascii="Century Gothic" w:hAnsi="Century Gothic" w:cs="Times New Roman"/>
          <w:sz w:val="18"/>
        </w:rPr>
        <w:t xml:space="preserve"> situation familiale, l’activité, les revenus et charges, le patri- moine, l’existence de comptes,</w:t>
      </w:r>
    </w:p>
    <w:p w14:paraId="710B589A" w14:textId="276BE8B8" w:rsidR="00ED6DDA" w:rsidRPr="00EC2D0F" w:rsidRDefault="0015262F" w:rsidP="00116BCC">
      <w:pPr>
        <w:pStyle w:val="Paragraphedeliste"/>
        <w:numPr>
          <w:ilvl w:val="0"/>
          <w:numId w:val="12"/>
        </w:numPr>
        <w:spacing w:after="120"/>
        <w:jc w:val="both"/>
        <w:rPr>
          <w:rFonts w:ascii="Century Gothic" w:hAnsi="Century Gothic" w:cs="Times New Roman"/>
          <w:sz w:val="18"/>
        </w:rPr>
      </w:pPr>
      <w:r w:rsidRPr="00EC2D0F">
        <w:rPr>
          <w:rFonts w:ascii="Century Gothic" w:hAnsi="Century Gothic" w:cs="Times New Roman"/>
          <w:sz w:val="18"/>
        </w:rPr>
        <w:t>La</w:t>
      </w:r>
      <w:r w:rsidR="00ED6DDA" w:rsidRPr="00EC2D0F">
        <w:rPr>
          <w:rFonts w:ascii="Century Gothic" w:hAnsi="Century Gothic" w:cs="Times New Roman"/>
          <w:sz w:val="18"/>
        </w:rPr>
        <w:t xml:space="preserve"> nature du projet à l’appui de la demande de prêt et une enquête sur place.</w:t>
      </w:r>
    </w:p>
    <w:p w14:paraId="5B53045B"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Les diligences d’ordre réputationnel sont à réaliser sur le client afin de connaître ses antécédents. Ces diligences sont traditionnellement réalisées par des recherches sur des sources ouvertes (de type interrogation de moteurs de recherche, presse).</w:t>
      </w:r>
    </w:p>
    <w:p w14:paraId="1ADAED01"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Ce type de mode de recherche peut toutefois ne pas avoir de sens au regard de la population cliente de l’IMF : dans cette hypothèse, il est acceptable que les recherches de réputation se matérialisent par des enquêtes de voisinage ou de moralité qui seront consignées par écrit.</w:t>
      </w:r>
    </w:p>
    <w:p w14:paraId="5BC2FFF3"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En l’absence de réponses claires à ses questions, l’agent, ne pouvant instruire le dossier, ne poursuit pas la relation avec le client.</w:t>
      </w:r>
    </w:p>
    <w:p w14:paraId="62E1FD25"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L’ensemble des diligences de connaissance du client sera conservé dans le dossier client pendant au minimum 5 ans à l’issue de la relation d’affaire ou de la clôture du compte ou plus en fonction de la réglementation locale.</w:t>
      </w:r>
    </w:p>
    <w:p w14:paraId="12B9558D"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Par ailleurs, l’IMF ne peut entrer en relation d’affaires avec une personne physique ou morale qui figure sur une des listes de sanctions financières adoptées par les Nations Unies, l’Union européenne et la France au titre de la lutte contre le financement du terrorisme et du maintien de la paix et de la sécurité internationales.</w:t>
      </w:r>
    </w:p>
    <w:p w14:paraId="6B13C548"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L’IMF effectuera systématiquement le filtrage de ses clients à l’aune des listes de sanctions susmentionnées au-delà d’un montant d’opération financière (prêt, épargne, paiement, transfert, etc.) dont la détermination doit reposer sur une analyse fine du montant unitaire et de la fréquence des opérations réalisées pour les clients de l’IMF.</w:t>
      </w:r>
    </w:p>
    <w:p w14:paraId="70844ACC"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L’ensemble des dispositions ci-dessus s’appliquent aux tiers garants et aux mandataires désignés par le client.</w:t>
      </w:r>
    </w:p>
    <w:p w14:paraId="1E3666D4"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lastRenderedPageBreak/>
        <w:t xml:space="preserve">Un contrôle de 2ème niveau de l’ensemble de ces diligences est nécessaire pour s’assurer du respect de la procédure </w:t>
      </w:r>
      <w:r w:rsidR="00092CA8" w:rsidRPr="00EC2D0F">
        <w:rPr>
          <w:rFonts w:ascii="Century Gothic" w:hAnsi="Century Gothic" w:cs="Times New Roman"/>
          <w:sz w:val="18"/>
        </w:rPr>
        <w:t>LCB</w:t>
      </w:r>
      <w:r w:rsidRPr="00EC2D0F">
        <w:rPr>
          <w:rFonts w:ascii="Century Gothic" w:hAnsi="Century Gothic" w:cs="Times New Roman"/>
          <w:sz w:val="18"/>
        </w:rPr>
        <w:t>-FT par les agents de l’IMF. Ce contrôle est effectué par la personne en charge de la lutte anti blanchiment et contre le financement du terrorisme au sein de l’IMF.</w:t>
      </w:r>
    </w:p>
    <w:p w14:paraId="28138A17" w14:textId="77777777" w:rsidR="00ED6DDA" w:rsidRPr="00EC2D0F" w:rsidRDefault="00ED6DDA" w:rsidP="00116BCC">
      <w:pPr>
        <w:spacing w:after="120"/>
        <w:rPr>
          <w:rFonts w:ascii="Century Gothic" w:hAnsi="Century Gothic" w:cs="Times New Roman"/>
          <w:sz w:val="18"/>
        </w:rPr>
      </w:pPr>
    </w:p>
    <w:p w14:paraId="10A55B3E"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Le suivi des clients et des opérations</w:t>
      </w:r>
    </w:p>
    <w:p w14:paraId="32AA068E"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L’agent de l’IMF doit exercer une vigilance constante afin de s’assurer que les transactions effectuées sont cohérentes avec les activités et le profil du client :</w:t>
      </w:r>
    </w:p>
    <w:p w14:paraId="3FCA55CB" w14:textId="30708FA7" w:rsidR="00ED6DDA" w:rsidRPr="00EC2D0F" w:rsidRDefault="0015262F" w:rsidP="00116BCC">
      <w:pPr>
        <w:pStyle w:val="Paragraphedeliste"/>
        <w:numPr>
          <w:ilvl w:val="0"/>
          <w:numId w:val="13"/>
        </w:numPr>
        <w:spacing w:after="120"/>
        <w:rPr>
          <w:rFonts w:ascii="Century Gothic" w:hAnsi="Century Gothic" w:cs="Times New Roman"/>
          <w:sz w:val="18"/>
        </w:rPr>
      </w:pPr>
      <w:r w:rsidRPr="00EC2D0F">
        <w:rPr>
          <w:rFonts w:ascii="Century Gothic" w:hAnsi="Century Gothic" w:cs="Times New Roman"/>
          <w:sz w:val="18"/>
        </w:rPr>
        <w:t>Lors</w:t>
      </w:r>
      <w:r w:rsidR="00ED6DDA" w:rsidRPr="00EC2D0F">
        <w:rPr>
          <w:rFonts w:ascii="Century Gothic" w:hAnsi="Century Gothic" w:cs="Times New Roman"/>
          <w:sz w:val="18"/>
        </w:rPr>
        <w:t xml:space="preserve"> du versement du crédit, l’agent doit vérifier l’identité du client, la correspondance des données avec celles figurant dans le dossier d’instruction et que les fonds sont versés sur le compte prévu à l’origine ou, dans le cas contraire, en demander la justification au client,</w:t>
      </w:r>
    </w:p>
    <w:p w14:paraId="504A2F47" w14:textId="1F707D6D" w:rsidR="00ED6DDA" w:rsidRPr="00EC2D0F" w:rsidRDefault="0015262F" w:rsidP="00116BCC">
      <w:pPr>
        <w:pStyle w:val="Paragraphedeliste"/>
        <w:numPr>
          <w:ilvl w:val="0"/>
          <w:numId w:val="13"/>
        </w:numPr>
        <w:spacing w:after="120"/>
        <w:rPr>
          <w:rFonts w:ascii="Century Gothic" w:hAnsi="Century Gothic" w:cs="Times New Roman"/>
          <w:sz w:val="18"/>
        </w:rPr>
      </w:pPr>
      <w:r w:rsidRPr="00EC2D0F">
        <w:rPr>
          <w:rFonts w:ascii="Century Gothic" w:hAnsi="Century Gothic" w:cs="Times New Roman"/>
          <w:sz w:val="18"/>
        </w:rPr>
        <w:t>Dans</w:t>
      </w:r>
      <w:r w:rsidR="00ED6DDA" w:rsidRPr="00EC2D0F">
        <w:rPr>
          <w:rFonts w:ascii="Century Gothic" w:hAnsi="Century Gothic" w:cs="Times New Roman"/>
          <w:sz w:val="18"/>
        </w:rPr>
        <w:t xml:space="preserve"> les semaines qui suivent le décaissement, l’agent de crédit se déplace pour interroger le client sur l’utilisation des fonds conformément au dossier ; si l’agent a un doute sur l’opération ou sur le client, présent ou non, il en informe, après enquête, le </w:t>
      </w:r>
      <w:r w:rsidRPr="00EC2D0F">
        <w:rPr>
          <w:rFonts w:ascii="Century Gothic" w:hAnsi="Century Gothic" w:cs="Times New Roman"/>
          <w:sz w:val="18"/>
        </w:rPr>
        <w:t>responsable opérationnel</w:t>
      </w:r>
      <w:r w:rsidR="00ED6DDA" w:rsidRPr="00EC2D0F">
        <w:rPr>
          <w:rFonts w:ascii="Century Gothic" w:hAnsi="Century Gothic" w:cs="Times New Roman"/>
          <w:sz w:val="18"/>
        </w:rPr>
        <w:t>,</w:t>
      </w:r>
    </w:p>
    <w:p w14:paraId="49048B29" w14:textId="7C66C14D" w:rsidR="00ED6DDA" w:rsidRPr="00EC2D0F" w:rsidRDefault="0015262F" w:rsidP="00116BCC">
      <w:pPr>
        <w:pStyle w:val="Paragraphedeliste"/>
        <w:numPr>
          <w:ilvl w:val="0"/>
          <w:numId w:val="13"/>
        </w:numPr>
        <w:spacing w:after="120"/>
        <w:rPr>
          <w:rFonts w:ascii="Century Gothic" w:hAnsi="Century Gothic" w:cs="Times New Roman"/>
          <w:sz w:val="18"/>
        </w:rPr>
      </w:pPr>
      <w:r w:rsidRPr="00EC2D0F">
        <w:rPr>
          <w:rFonts w:ascii="Century Gothic" w:hAnsi="Century Gothic" w:cs="Times New Roman"/>
          <w:sz w:val="18"/>
        </w:rPr>
        <w:t>Lors</w:t>
      </w:r>
      <w:r w:rsidR="00ED6DDA" w:rsidRPr="00EC2D0F">
        <w:rPr>
          <w:rFonts w:ascii="Century Gothic" w:hAnsi="Century Gothic" w:cs="Times New Roman"/>
          <w:sz w:val="18"/>
        </w:rPr>
        <w:t xml:space="preserve"> du remboursement du crédit, l’agent doit vérifier l’origine des fonds et demander, s’il ne s’agit pas de ceux du client ou de la caution, des explications en particulier en cas de remboursement anticipé des fonds. Il consigne ses vérifications dans le dossier client et le transmet à sa hiérarchie.</w:t>
      </w:r>
    </w:p>
    <w:p w14:paraId="4E5B91F7"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 xml:space="preserve">Dans le cadre du dispositif </w:t>
      </w:r>
      <w:r w:rsidR="00092CA8" w:rsidRPr="00EC2D0F">
        <w:rPr>
          <w:rFonts w:ascii="Century Gothic" w:hAnsi="Century Gothic" w:cs="Times New Roman"/>
          <w:sz w:val="18"/>
        </w:rPr>
        <w:t>LCB</w:t>
      </w:r>
      <w:r w:rsidRPr="00EC2D0F">
        <w:rPr>
          <w:rFonts w:ascii="Century Gothic" w:hAnsi="Century Gothic" w:cs="Times New Roman"/>
          <w:sz w:val="18"/>
        </w:rPr>
        <w:t>-FT mis en place, l’IMF doit également identifier les transactions inhabituelles ou suspectes : montants importants, pas de justification économique, pas d’objet licite et/ou en cas de remboursements répétitifs hors zone.</w:t>
      </w:r>
    </w:p>
    <w:p w14:paraId="29FB840D"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 xml:space="preserve">Un document écrit par le niveau hiérarchique opérationnel doit consigner les anomalies constatées et, en cas de confirmation après vérification, être transmis au responsable </w:t>
      </w:r>
      <w:r w:rsidR="00092CA8" w:rsidRPr="00EC2D0F">
        <w:rPr>
          <w:rFonts w:ascii="Century Gothic" w:hAnsi="Century Gothic" w:cs="Times New Roman"/>
          <w:sz w:val="18"/>
        </w:rPr>
        <w:t>LCB</w:t>
      </w:r>
      <w:r w:rsidRPr="00EC2D0F">
        <w:rPr>
          <w:rFonts w:ascii="Century Gothic" w:hAnsi="Century Gothic" w:cs="Times New Roman"/>
          <w:sz w:val="18"/>
        </w:rPr>
        <w:t>-FT à l’échelon central de l’IMF qui procède après investigations complémentaires,</w:t>
      </w:r>
    </w:p>
    <w:p w14:paraId="3105BFF7" w14:textId="0647FE87" w:rsidR="00ED6DDA" w:rsidRPr="00EC2D0F" w:rsidRDefault="0015262F" w:rsidP="00116BCC">
      <w:pPr>
        <w:pStyle w:val="Paragraphedeliste"/>
        <w:numPr>
          <w:ilvl w:val="0"/>
          <w:numId w:val="14"/>
        </w:numPr>
        <w:spacing w:after="120"/>
        <w:jc w:val="both"/>
        <w:rPr>
          <w:rFonts w:ascii="Century Gothic" w:hAnsi="Century Gothic" w:cs="Times New Roman"/>
          <w:sz w:val="18"/>
        </w:rPr>
      </w:pPr>
      <w:r w:rsidRPr="00EC2D0F">
        <w:rPr>
          <w:rFonts w:ascii="Century Gothic" w:hAnsi="Century Gothic" w:cs="Times New Roman"/>
          <w:sz w:val="18"/>
        </w:rPr>
        <w:t>Soit</w:t>
      </w:r>
      <w:r w:rsidR="00ED6DDA" w:rsidRPr="00EC2D0F">
        <w:rPr>
          <w:rFonts w:ascii="Century Gothic" w:hAnsi="Century Gothic" w:cs="Times New Roman"/>
          <w:sz w:val="18"/>
        </w:rPr>
        <w:t xml:space="preserve"> au classement sans suite,</w:t>
      </w:r>
    </w:p>
    <w:p w14:paraId="44A22705" w14:textId="72ED27AA" w:rsidR="00ED6DDA" w:rsidRPr="00EC2D0F" w:rsidRDefault="0015262F" w:rsidP="00116BCC">
      <w:pPr>
        <w:pStyle w:val="Paragraphedeliste"/>
        <w:numPr>
          <w:ilvl w:val="0"/>
          <w:numId w:val="14"/>
        </w:numPr>
        <w:spacing w:after="120"/>
        <w:jc w:val="both"/>
        <w:rPr>
          <w:rFonts w:ascii="Century Gothic" w:hAnsi="Century Gothic" w:cs="Times New Roman"/>
          <w:sz w:val="18"/>
        </w:rPr>
      </w:pPr>
      <w:r w:rsidRPr="00EC2D0F">
        <w:rPr>
          <w:rFonts w:ascii="Century Gothic" w:hAnsi="Century Gothic" w:cs="Times New Roman"/>
          <w:sz w:val="18"/>
        </w:rPr>
        <w:t>Soit</w:t>
      </w:r>
      <w:r w:rsidR="00ED6DDA" w:rsidRPr="00EC2D0F">
        <w:rPr>
          <w:rFonts w:ascii="Century Gothic" w:hAnsi="Century Gothic" w:cs="Times New Roman"/>
          <w:sz w:val="18"/>
        </w:rPr>
        <w:t xml:space="preserve"> à la constitution d’un dossier de déclaration d’opérations suspectes aux autorités compétentes et/ou à la cellule de renseignements financière du pays d’implantation de l’IMF, si elle existe.</w:t>
      </w:r>
    </w:p>
    <w:p w14:paraId="1BBFBED0" w14:textId="77777777" w:rsidR="00ED6DDA" w:rsidRPr="00EC2D0F" w:rsidRDefault="00ED6DDA" w:rsidP="00116BCC">
      <w:pPr>
        <w:spacing w:after="120"/>
        <w:jc w:val="both"/>
        <w:rPr>
          <w:rFonts w:ascii="Century Gothic" w:hAnsi="Century Gothic" w:cs="Times New Roman"/>
          <w:sz w:val="18"/>
        </w:rPr>
      </w:pPr>
      <w:r w:rsidRPr="00EC2D0F">
        <w:rPr>
          <w:rFonts w:ascii="Century Gothic" w:hAnsi="Century Gothic" w:cs="Times New Roman"/>
          <w:sz w:val="18"/>
        </w:rPr>
        <w:t xml:space="preserve">Le reporting : l’organisation standard d’un dispositif </w:t>
      </w:r>
      <w:r w:rsidR="00092CA8" w:rsidRPr="00EC2D0F">
        <w:rPr>
          <w:rFonts w:ascii="Century Gothic" w:hAnsi="Century Gothic" w:cs="Times New Roman"/>
          <w:sz w:val="18"/>
        </w:rPr>
        <w:t>LCB</w:t>
      </w:r>
      <w:r w:rsidRPr="00EC2D0F">
        <w:rPr>
          <w:rFonts w:ascii="Century Gothic" w:hAnsi="Century Gothic" w:cs="Times New Roman"/>
          <w:sz w:val="18"/>
        </w:rPr>
        <w:t>-FT dans une IMF implique de disposer de supports d’information permet- tant l’accomplissement des obligations de vigilance, la vérification de l’accomplissement de ces obligations, la consignation des enquêtes correspondantes, l’information des instances internes et externes sur le fonctionnement du dispositif.</w:t>
      </w:r>
    </w:p>
    <w:p w14:paraId="2607FCCB" w14:textId="77777777" w:rsidR="00ED6DDA" w:rsidRPr="00EC2D0F" w:rsidRDefault="00ED6DDA" w:rsidP="00116BCC">
      <w:pPr>
        <w:spacing w:after="120"/>
        <w:rPr>
          <w:rFonts w:ascii="Century Gothic" w:hAnsi="Century Gothic" w:cs="Times New Roman"/>
          <w:sz w:val="18"/>
        </w:rPr>
      </w:pPr>
    </w:p>
    <w:p w14:paraId="1B79B950"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La traçabilité et la conservation des données</w:t>
      </w:r>
    </w:p>
    <w:p w14:paraId="27C6E311"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La traçabilité est assurée notamment par la mise en place de Registres :</w:t>
      </w:r>
    </w:p>
    <w:p w14:paraId="1401D513" w14:textId="1609C69B" w:rsidR="00ED6DDA" w:rsidRPr="00EC2D0F" w:rsidRDefault="0015262F" w:rsidP="00116BCC">
      <w:pPr>
        <w:pStyle w:val="Paragraphedeliste"/>
        <w:numPr>
          <w:ilvl w:val="0"/>
          <w:numId w:val="15"/>
        </w:numPr>
        <w:spacing w:after="120"/>
        <w:rPr>
          <w:rFonts w:ascii="Century Gothic" w:hAnsi="Century Gothic" w:cs="Times New Roman"/>
          <w:sz w:val="18"/>
        </w:rPr>
      </w:pPr>
      <w:r w:rsidRPr="00EC2D0F">
        <w:rPr>
          <w:rFonts w:ascii="Century Gothic" w:hAnsi="Century Gothic" w:cs="Times New Roman"/>
          <w:sz w:val="18"/>
        </w:rPr>
        <w:t>Un</w:t>
      </w:r>
      <w:r w:rsidR="00ED6DDA" w:rsidRPr="00EC2D0F">
        <w:rPr>
          <w:rFonts w:ascii="Century Gothic" w:hAnsi="Century Gothic" w:cs="Times New Roman"/>
          <w:sz w:val="18"/>
        </w:rPr>
        <w:t xml:space="preserve"> registre confidentiel des clients et/ou des opérations suspectes, tenu et mis à jour par le responsable </w:t>
      </w:r>
      <w:r w:rsidR="00092CA8" w:rsidRPr="00EC2D0F">
        <w:rPr>
          <w:rFonts w:ascii="Century Gothic" w:hAnsi="Century Gothic" w:cs="Times New Roman"/>
          <w:sz w:val="18"/>
        </w:rPr>
        <w:t>LCB</w:t>
      </w:r>
      <w:r w:rsidR="00ED6DDA" w:rsidRPr="00EC2D0F">
        <w:rPr>
          <w:rFonts w:ascii="Century Gothic" w:hAnsi="Century Gothic" w:cs="Times New Roman"/>
          <w:sz w:val="18"/>
        </w:rPr>
        <w:t>-FT,</w:t>
      </w:r>
    </w:p>
    <w:p w14:paraId="255801D6" w14:textId="4258BFE9" w:rsidR="00ED6DDA" w:rsidRPr="00EC2D0F" w:rsidRDefault="0015262F" w:rsidP="00116BCC">
      <w:pPr>
        <w:pStyle w:val="Paragraphedeliste"/>
        <w:numPr>
          <w:ilvl w:val="0"/>
          <w:numId w:val="15"/>
        </w:numPr>
        <w:spacing w:after="120"/>
        <w:rPr>
          <w:rFonts w:ascii="Century Gothic" w:hAnsi="Century Gothic" w:cs="Times New Roman"/>
          <w:sz w:val="18"/>
        </w:rPr>
      </w:pPr>
      <w:r w:rsidRPr="00EC2D0F">
        <w:rPr>
          <w:rFonts w:ascii="Century Gothic" w:hAnsi="Century Gothic" w:cs="Times New Roman"/>
          <w:sz w:val="18"/>
        </w:rPr>
        <w:t>Un</w:t>
      </w:r>
      <w:r w:rsidR="00ED6DDA" w:rsidRPr="00EC2D0F">
        <w:rPr>
          <w:rFonts w:ascii="Century Gothic" w:hAnsi="Century Gothic" w:cs="Times New Roman"/>
          <w:sz w:val="18"/>
        </w:rPr>
        <w:t xml:space="preserve"> registre des opérations complexes, sans justification </w:t>
      </w:r>
      <w:r w:rsidRPr="00EC2D0F">
        <w:rPr>
          <w:rFonts w:ascii="Century Gothic" w:hAnsi="Century Gothic" w:cs="Times New Roman"/>
          <w:sz w:val="18"/>
        </w:rPr>
        <w:t>économique apparente</w:t>
      </w:r>
      <w:r w:rsidR="00ED6DDA" w:rsidRPr="00EC2D0F">
        <w:rPr>
          <w:rFonts w:ascii="Century Gothic" w:hAnsi="Century Gothic" w:cs="Times New Roman"/>
          <w:sz w:val="18"/>
        </w:rPr>
        <w:t>,</w:t>
      </w:r>
    </w:p>
    <w:p w14:paraId="3C4B309B" w14:textId="02BE757B" w:rsidR="00ED6DDA" w:rsidRPr="00EC2D0F" w:rsidRDefault="0015262F" w:rsidP="00116BCC">
      <w:pPr>
        <w:pStyle w:val="Paragraphedeliste"/>
        <w:numPr>
          <w:ilvl w:val="0"/>
          <w:numId w:val="15"/>
        </w:numPr>
        <w:spacing w:after="120"/>
        <w:rPr>
          <w:rFonts w:ascii="Century Gothic" w:hAnsi="Century Gothic" w:cs="Times New Roman"/>
          <w:sz w:val="18"/>
        </w:rPr>
      </w:pPr>
      <w:r w:rsidRPr="00EC2D0F">
        <w:rPr>
          <w:rFonts w:ascii="Century Gothic" w:hAnsi="Century Gothic" w:cs="Times New Roman"/>
          <w:sz w:val="18"/>
        </w:rPr>
        <w:t>Un</w:t>
      </w:r>
      <w:r w:rsidR="00ED6DDA" w:rsidRPr="00EC2D0F">
        <w:rPr>
          <w:rFonts w:ascii="Century Gothic" w:hAnsi="Century Gothic" w:cs="Times New Roman"/>
          <w:sz w:val="18"/>
        </w:rPr>
        <w:t xml:space="preserve"> registre des consultations des deux registres précédents,</w:t>
      </w:r>
    </w:p>
    <w:p w14:paraId="2B947730" w14:textId="21F1E93C" w:rsidR="00ED6DDA" w:rsidRPr="00EC2D0F" w:rsidRDefault="0015262F" w:rsidP="00116BCC">
      <w:pPr>
        <w:pStyle w:val="Paragraphedeliste"/>
        <w:numPr>
          <w:ilvl w:val="0"/>
          <w:numId w:val="15"/>
        </w:numPr>
        <w:spacing w:after="120"/>
        <w:rPr>
          <w:rFonts w:ascii="Century Gothic" w:hAnsi="Century Gothic" w:cs="Times New Roman"/>
          <w:sz w:val="18"/>
        </w:rPr>
      </w:pPr>
      <w:r w:rsidRPr="00EC2D0F">
        <w:rPr>
          <w:rFonts w:ascii="Century Gothic" w:hAnsi="Century Gothic" w:cs="Times New Roman"/>
          <w:sz w:val="18"/>
        </w:rPr>
        <w:t>Une</w:t>
      </w:r>
      <w:r w:rsidR="00ED6DDA" w:rsidRPr="00EC2D0F">
        <w:rPr>
          <w:rFonts w:ascii="Century Gothic" w:hAnsi="Century Gothic" w:cs="Times New Roman"/>
          <w:sz w:val="18"/>
        </w:rPr>
        <w:t xml:space="preserve"> liste des PPE, éventuellement présentes dans la gouvernance de l’IMF, doit être constituée et mise à jour et accessible par les agents via le Système d’Information de l’IMF, si la législation locale le permet.</w:t>
      </w:r>
    </w:p>
    <w:p w14:paraId="79AD2DD9"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Un dispositif de conservation des données doit être mis en place. Sous réserve de la législation locale, les documents d’identification du client doivent être conservés pendant une durée de 5 ans à compter de la clôture du compte et/ou de la cessation de la relation avec le client. Ces documents doivent être mis à jour en tant que de besoin.</w:t>
      </w:r>
    </w:p>
    <w:p w14:paraId="03C4CDA1"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Il en est de même des documents relatifs aux opérations effectuées avec les clients pendant une durée de 5 ans à compter de la date des dites opérations afin d’être en mesure de communiquer les informations sur demande des autorités habilitées.</w:t>
      </w:r>
    </w:p>
    <w:p w14:paraId="30114D44" w14:textId="77777777" w:rsidR="00ED6DDA" w:rsidRPr="00EC2D0F" w:rsidRDefault="00ED6DDA" w:rsidP="00116BCC">
      <w:pPr>
        <w:spacing w:after="120"/>
        <w:rPr>
          <w:rFonts w:ascii="Century Gothic" w:hAnsi="Century Gothic" w:cs="Times New Roman"/>
          <w:sz w:val="18"/>
        </w:rPr>
      </w:pPr>
    </w:p>
    <w:p w14:paraId="22CDF0E3"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L’identification des PPE</w:t>
      </w:r>
    </w:p>
    <w:p w14:paraId="519EFD5F"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Une vigilance renforcée doit être exercée sur les personnes qui exercent d’importantes fonctions publiques, appelées Personnes Politiquement Exposées (PPE)</w:t>
      </w:r>
      <w:r w:rsidRPr="00EC2D0F">
        <w:rPr>
          <w:rStyle w:val="Appelnotedebasdep"/>
          <w:rFonts w:ascii="Century Gothic" w:hAnsi="Century Gothic" w:cs="Times New Roman"/>
          <w:sz w:val="18"/>
        </w:rPr>
        <w:footnoteReference w:id="4"/>
      </w:r>
      <w:r w:rsidRPr="00EC2D0F">
        <w:rPr>
          <w:rFonts w:ascii="Century Gothic" w:hAnsi="Century Gothic" w:cs="Times New Roman"/>
          <w:sz w:val="18"/>
        </w:rPr>
        <w:t xml:space="preserve"> qui peuvent être présentes au sein de la clientèle de l’IMF.</w:t>
      </w:r>
    </w:p>
    <w:p w14:paraId="5B6AF53C" w14:textId="77777777" w:rsidR="00ED6DDA" w:rsidRPr="00EC2D0F" w:rsidRDefault="00ED6DDA" w:rsidP="00116BCC">
      <w:pPr>
        <w:spacing w:after="120"/>
        <w:rPr>
          <w:rFonts w:ascii="Century Gothic" w:hAnsi="Century Gothic" w:cs="Times New Roman"/>
          <w:sz w:val="18"/>
        </w:rPr>
      </w:pPr>
    </w:p>
    <w:p w14:paraId="314EE2D4"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La déclaration de soupçon</w:t>
      </w:r>
    </w:p>
    <w:p w14:paraId="3A60A54D"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 xml:space="preserve">La personne en charge de la Fonction </w:t>
      </w:r>
      <w:r w:rsidR="00092CA8" w:rsidRPr="00EC2D0F">
        <w:rPr>
          <w:rFonts w:ascii="Century Gothic" w:hAnsi="Century Gothic" w:cs="Times New Roman"/>
          <w:sz w:val="18"/>
        </w:rPr>
        <w:t>LCB</w:t>
      </w:r>
      <w:r w:rsidRPr="00EC2D0F">
        <w:rPr>
          <w:rFonts w:ascii="Century Gothic" w:hAnsi="Century Gothic" w:cs="Times New Roman"/>
          <w:sz w:val="18"/>
        </w:rPr>
        <w:t>-FT analyse les remontées d’information du réseau et, après complément d’informations, statue sur la suite à donner : soit le classement, soit la déclaration de soupçon (DS) auprès des autorités compétentes conformément à la réglementation applicable.</w:t>
      </w:r>
    </w:p>
    <w:p w14:paraId="28B23CFC"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Cette DS comporte les éléments d’identification de la personne habilitée, des éléments d’identification sur le client, un descriptif de l’objet et de la nature de la relation d’affaires, le descriptif des opérations suspectes concernées.</w:t>
      </w:r>
    </w:p>
    <w:p w14:paraId="58DA6A5C" w14:textId="77777777" w:rsidR="00ED6DDA" w:rsidRPr="00EC2D0F" w:rsidRDefault="00ED6DDA" w:rsidP="00116BCC">
      <w:pPr>
        <w:spacing w:after="120"/>
        <w:rPr>
          <w:rFonts w:ascii="Century Gothic" w:hAnsi="Century Gothic" w:cs="Times New Roman"/>
          <w:sz w:val="18"/>
        </w:rPr>
      </w:pPr>
    </w:p>
    <w:p w14:paraId="4E2F2AF4" w14:textId="77777777" w:rsidR="00ED6DDA" w:rsidRPr="00EC2D0F" w:rsidRDefault="00ED6DDA" w:rsidP="00116BCC">
      <w:pPr>
        <w:pStyle w:val="Paragraphedeliste"/>
        <w:numPr>
          <w:ilvl w:val="0"/>
          <w:numId w:val="11"/>
        </w:numPr>
        <w:spacing w:after="120"/>
        <w:rPr>
          <w:rFonts w:ascii="Century Gothic" w:hAnsi="Century Gothic" w:cs="Times New Roman"/>
          <w:b/>
          <w:sz w:val="18"/>
        </w:rPr>
      </w:pPr>
      <w:r w:rsidRPr="00EC2D0F">
        <w:rPr>
          <w:rFonts w:ascii="Century Gothic" w:hAnsi="Century Gothic" w:cs="Times New Roman"/>
          <w:b/>
          <w:sz w:val="18"/>
        </w:rPr>
        <w:t>La conn</w:t>
      </w:r>
      <w:r w:rsidR="000476BB" w:rsidRPr="00EC2D0F">
        <w:rPr>
          <w:rFonts w:ascii="Century Gothic" w:hAnsi="Century Gothic" w:cs="Times New Roman"/>
          <w:b/>
          <w:sz w:val="18"/>
        </w:rPr>
        <w:t>aissance du personnel de l’IMF et</w:t>
      </w:r>
      <w:r w:rsidRPr="00EC2D0F">
        <w:rPr>
          <w:rFonts w:ascii="Century Gothic" w:hAnsi="Century Gothic" w:cs="Times New Roman"/>
          <w:b/>
          <w:sz w:val="18"/>
        </w:rPr>
        <w:t xml:space="preserve"> sa formation</w:t>
      </w:r>
    </w:p>
    <w:p w14:paraId="028FC330"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Préalablement à l’embauche de tout personnel, l’IMF doit vérifier son identité et sa réputation.</w:t>
      </w:r>
    </w:p>
    <w:p w14:paraId="603FB52B" w14:textId="77777777" w:rsidR="00ED6DDA" w:rsidRPr="00EC2D0F" w:rsidRDefault="00ED6DDA" w:rsidP="00116BCC">
      <w:pPr>
        <w:spacing w:after="120"/>
        <w:rPr>
          <w:rFonts w:ascii="Century Gothic" w:hAnsi="Century Gothic" w:cs="Times New Roman"/>
          <w:sz w:val="18"/>
        </w:rPr>
      </w:pPr>
      <w:r w:rsidRPr="00EC2D0F">
        <w:rPr>
          <w:rFonts w:ascii="Century Gothic" w:hAnsi="Century Gothic" w:cs="Times New Roman"/>
          <w:sz w:val="18"/>
        </w:rPr>
        <w:t xml:space="preserve">Les agents de l’IMF doivent recevoir régulièrement une formation sur la sensibilisation aux risques d’utilisation de la microfinance à des fins illicites, sur le dispositif </w:t>
      </w:r>
      <w:r w:rsidR="00092CA8" w:rsidRPr="00EC2D0F">
        <w:rPr>
          <w:rFonts w:ascii="Century Gothic" w:hAnsi="Century Gothic" w:cs="Times New Roman"/>
          <w:sz w:val="18"/>
        </w:rPr>
        <w:t>LCB</w:t>
      </w:r>
      <w:r w:rsidRPr="00EC2D0F">
        <w:rPr>
          <w:rFonts w:ascii="Century Gothic" w:hAnsi="Century Gothic" w:cs="Times New Roman"/>
          <w:sz w:val="18"/>
        </w:rPr>
        <w:t xml:space="preserve">-FT et sur les procédures de contrôle. Les modules de formation intègrent les évolutions de la réglementation et les bonnes pratiques enregistrées et sont validées par le Responsable </w:t>
      </w:r>
      <w:r w:rsidR="00092CA8" w:rsidRPr="00EC2D0F">
        <w:rPr>
          <w:rFonts w:ascii="Century Gothic" w:hAnsi="Century Gothic" w:cs="Times New Roman"/>
          <w:sz w:val="18"/>
        </w:rPr>
        <w:t>LCB</w:t>
      </w:r>
      <w:r w:rsidRPr="00EC2D0F">
        <w:rPr>
          <w:rFonts w:ascii="Century Gothic" w:hAnsi="Century Gothic" w:cs="Times New Roman"/>
          <w:sz w:val="18"/>
        </w:rPr>
        <w:t>-FT de l’IMF.</w:t>
      </w:r>
    </w:p>
    <w:p w14:paraId="07161D53" w14:textId="77777777" w:rsidR="00ED6DDA" w:rsidRPr="00EC2D0F" w:rsidRDefault="00ED6DDA">
      <w:pPr>
        <w:rPr>
          <w:rFonts w:ascii="Century Gothic" w:hAnsi="Century Gothic" w:cs="Times New Roman"/>
          <w:sz w:val="18"/>
        </w:rPr>
      </w:pPr>
      <w:r w:rsidRPr="00EC2D0F">
        <w:rPr>
          <w:rFonts w:ascii="Century Gothic" w:hAnsi="Century Gothic" w:cs="Times New Roman"/>
          <w:sz w:val="18"/>
        </w:rPr>
        <w:br w:type="page"/>
      </w:r>
    </w:p>
    <w:p w14:paraId="766FB671" w14:textId="062D0EEE" w:rsidR="00ED6DDA" w:rsidRPr="000A4C59" w:rsidRDefault="00ED6DDA" w:rsidP="00ED6DDA">
      <w:pPr>
        <w:rPr>
          <w:rFonts w:ascii="Century Gothic" w:hAnsi="Century Gothic" w:cs="Times New Roman"/>
          <w:b/>
          <w:color w:val="0070C0"/>
        </w:rPr>
      </w:pPr>
      <w:r w:rsidRPr="000A4C59">
        <w:rPr>
          <w:rFonts w:ascii="Century Gothic" w:hAnsi="Century Gothic" w:cs="Times New Roman"/>
          <w:b/>
          <w:color w:val="0070C0"/>
        </w:rPr>
        <w:lastRenderedPageBreak/>
        <w:t xml:space="preserve">Annexe </w:t>
      </w:r>
      <w:r w:rsidR="003820BE" w:rsidRPr="000A4C59">
        <w:rPr>
          <w:rFonts w:ascii="Century Gothic" w:hAnsi="Century Gothic" w:cs="Times New Roman"/>
          <w:b/>
          <w:color w:val="0070C0"/>
        </w:rPr>
        <w:t>7</w:t>
      </w:r>
      <w:r w:rsidRPr="000A4C59">
        <w:rPr>
          <w:rFonts w:ascii="Century Gothic" w:hAnsi="Century Gothic" w:cs="Times New Roman"/>
          <w:b/>
          <w:color w:val="0070C0"/>
        </w:rPr>
        <w:t xml:space="preserve">.3 – Attestation de l’IMF certifiant l’existence d’une procédure </w:t>
      </w:r>
      <w:r w:rsidR="00092CA8" w:rsidRPr="000A4C59">
        <w:rPr>
          <w:rFonts w:ascii="Century Gothic" w:hAnsi="Century Gothic" w:cs="Times New Roman"/>
          <w:b/>
          <w:color w:val="0070C0"/>
        </w:rPr>
        <w:t>LCB</w:t>
      </w:r>
      <w:r w:rsidRPr="000A4C59">
        <w:rPr>
          <w:rFonts w:ascii="Century Gothic" w:hAnsi="Century Gothic" w:cs="Times New Roman"/>
          <w:b/>
          <w:color w:val="0070C0"/>
        </w:rPr>
        <w:t>-FT en vigueur en son sein et la mise en œuvre effective de cette procédure (VF)</w:t>
      </w:r>
    </w:p>
    <w:p w14:paraId="36B6FD38" w14:textId="77777777" w:rsidR="00ED6DDA" w:rsidRPr="00EC2D0F" w:rsidRDefault="00ED6DDA" w:rsidP="00ED6DDA">
      <w:pPr>
        <w:rPr>
          <w:rFonts w:ascii="Century Gothic" w:hAnsi="Century Gothic" w:cs="Arial"/>
          <w:sz w:val="18"/>
        </w:rPr>
      </w:pPr>
    </w:p>
    <w:p w14:paraId="251D240A" w14:textId="77777777" w:rsidR="00ED6DDA" w:rsidRPr="00EC2D0F" w:rsidRDefault="00ED6DDA" w:rsidP="00ED6DDA">
      <w:pPr>
        <w:rPr>
          <w:rFonts w:ascii="Century Gothic" w:hAnsi="Century Gothic" w:cs="Arial"/>
          <w:i/>
          <w:sz w:val="17"/>
          <w:szCs w:val="17"/>
        </w:rPr>
      </w:pPr>
      <w:r w:rsidRPr="00EC2D0F">
        <w:rPr>
          <w:rFonts w:ascii="Century Gothic" w:hAnsi="Century Gothic" w:cs="Arial"/>
          <w:i/>
          <w:sz w:val="17"/>
          <w:szCs w:val="17"/>
        </w:rPr>
        <w:t>Entête de [l’institution financière]</w:t>
      </w:r>
    </w:p>
    <w:p w14:paraId="69FC4D2D" w14:textId="77777777" w:rsidR="00ED6DDA" w:rsidRPr="00EC2D0F" w:rsidRDefault="00ED6DDA" w:rsidP="00ED6DDA">
      <w:pPr>
        <w:rPr>
          <w:rFonts w:ascii="Century Gothic" w:hAnsi="Century Gothic" w:cs="Arial"/>
          <w:sz w:val="17"/>
          <w:szCs w:val="17"/>
        </w:rPr>
      </w:pPr>
    </w:p>
    <w:p w14:paraId="0F29A45F" w14:textId="77777777" w:rsidR="00ED6DDA" w:rsidRPr="00EC2D0F" w:rsidRDefault="00ED6DDA" w:rsidP="00ED6DDA">
      <w:pPr>
        <w:jc w:val="center"/>
        <w:rPr>
          <w:rFonts w:ascii="Century Gothic" w:hAnsi="Century Gothic" w:cs="Arial"/>
          <w:sz w:val="17"/>
          <w:szCs w:val="17"/>
        </w:rPr>
      </w:pPr>
      <w:r w:rsidRPr="00EC2D0F">
        <w:rPr>
          <w:rFonts w:ascii="Century Gothic" w:hAnsi="Century Gothic" w:cs="Arial"/>
          <w:sz w:val="17"/>
          <w:szCs w:val="17"/>
        </w:rPr>
        <w:t>ATTESTATION</w:t>
      </w:r>
    </w:p>
    <w:p w14:paraId="4B938F00" w14:textId="77777777" w:rsidR="00ED6DDA" w:rsidRPr="00EC2D0F" w:rsidRDefault="00ED6DDA" w:rsidP="00ED6DDA">
      <w:pPr>
        <w:rPr>
          <w:rFonts w:ascii="Century Gothic" w:hAnsi="Century Gothic" w:cs="Arial"/>
          <w:sz w:val="17"/>
          <w:szCs w:val="17"/>
        </w:rPr>
      </w:pPr>
    </w:p>
    <w:p w14:paraId="76E1DF91"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Je soussigné ………………………………… Directeur de la Conformité /Directeur de l’Inspection / de l’audit interne ou Directeur général de [l’IMF],</w:t>
      </w:r>
    </w:p>
    <w:p w14:paraId="524AC572" w14:textId="77777777" w:rsidR="00ED6DDA" w:rsidRPr="00EC2D0F" w:rsidRDefault="00ED6DDA" w:rsidP="00ED6DDA">
      <w:pPr>
        <w:rPr>
          <w:rFonts w:ascii="Century Gothic" w:hAnsi="Century Gothic" w:cs="Arial"/>
          <w:sz w:val="17"/>
          <w:szCs w:val="17"/>
        </w:rPr>
      </w:pPr>
    </w:p>
    <w:p w14:paraId="1985855A"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certifie que la procédure intitulée […], datée du […] est la procédure interne opérationnelle de [l’IMF] en matière de lutte contre le blanchiment et le financement du terrorisme ;</w:t>
      </w:r>
    </w:p>
    <w:p w14:paraId="3259867E" w14:textId="77777777" w:rsidR="00ED6DDA" w:rsidRPr="00EC2D0F" w:rsidRDefault="00ED6DDA" w:rsidP="00092CA8">
      <w:pPr>
        <w:ind w:firstLine="567"/>
        <w:rPr>
          <w:rFonts w:ascii="Century Gothic" w:hAnsi="Century Gothic" w:cs="Arial"/>
          <w:sz w:val="17"/>
          <w:szCs w:val="17"/>
        </w:rPr>
      </w:pPr>
    </w:p>
    <w:p w14:paraId="2F895D7A"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xml:space="preserve">• certifie que cette procédure, actuellement en vigueur au sein de </w:t>
      </w:r>
      <w:r w:rsidRPr="00EC2D0F">
        <w:rPr>
          <w:rFonts w:ascii="Century Gothic" w:hAnsi="Century Gothic" w:cs="Arial"/>
          <w:i/>
          <w:sz w:val="17"/>
          <w:szCs w:val="17"/>
        </w:rPr>
        <w:t>[l’IMF],</w:t>
      </w:r>
      <w:r w:rsidRPr="00EC2D0F">
        <w:rPr>
          <w:rFonts w:ascii="Century Gothic" w:hAnsi="Century Gothic" w:cs="Arial"/>
          <w:sz w:val="17"/>
          <w:szCs w:val="17"/>
        </w:rPr>
        <w:t xml:space="preserve"> s’applique à toutes les activités de l’institution et est conforme aux 40 recommandations du GAFI ;</w:t>
      </w:r>
    </w:p>
    <w:p w14:paraId="43D3D2A8" w14:textId="77777777" w:rsidR="00ED6DDA" w:rsidRPr="00EC2D0F" w:rsidRDefault="00ED6DDA" w:rsidP="00092CA8">
      <w:pPr>
        <w:ind w:firstLine="567"/>
        <w:rPr>
          <w:rFonts w:ascii="Century Gothic" w:hAnsi="Century Gothic" w:cs="Arial"/>
          <w:sz w:val="17"/>
          <w:szCs w:val="17"/>
        </w:rPr>
      </w:pPr>
    </w:p>
    <w:p w14:paraId="30455FDB"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xml:space="preserve">• certifie que </w:t>
      </w:r>
      <w:r w:rsidR="00092CA8" w:rsidRPr="00EC2D0F">
        <w:rPr>
          <w:rFonts w:ascii="Century Gothic" w:hAnsi="Century Gothic" w:cs="Arial"/>
          <w:i/>
          <w:sz w:val="17"/>
          <w:szCs w:val="17"/>
        </w:rPr>
        <w:t>[IMF]</w:t>
      </w:r>
      <w:r w:rsidR="00092CA8" w:rsidRPr="00EC2D0F">
        <w:rPr>
          <w:rFonts w:ascii="Century Gothic" w:hAnsi="Century Gothic" w:cs="Arial"/>
          <w:sz w:val="17"/>
          <w:szCs w:val="17"/>
        </w:rPr>
        <w:t xml:space="preserve"> </w:t>
      </w:r>
      <w:r w:rsidRPr="00EC2D0F">
        <w:rPr>
          <w:rFonts w:ascii="Century Gothic" w:hAnsi="Century Gothic" w:cs="Arial"/>
          <w:sz w:val="17"/>
          <w:szCs w:val="17"/>
        </w:rPr>
        <w:t xml:space="preserve">prend systématiquement en compte dans ses systèmes les listes actualisées de sanctions financières adoptées par les Nations Unies, l’Union européenne et la France et contrôle une [partie] de ses clients et de leurs opérations </w:t>
      </w:r>
      <w:r w:rsidRPr="00EC2D0F">
        <w:rPr>
          <w:rFonts w:ascii="Century Gothic" w:hAnsi="Century Gothic" w:cs="Arial"/>
          <w:i/>
          <w:sz w:val="17"/>
          <w:szCs w:val="17"/>
        </w:rPr>
        <w:t xml:space="preserve">[au-delà d’un certain seuil] </w:t>
      </w:r>
      <w:r w:rsidRPr="00EC2D0F">
        <w:rPr>
          <w:rFonts w:ascii="Century Gothic" w:hAnsi="Century Gothic" w:cs="Arial"/>
          <w:sz w:val="17"/>
          <w:szCs w:val="17"/>
        </w:rPr>
        <w:t>à l’aune de ces listes ;</w:t>
      </w:r>
    </w:p>
    <w:p w14:paraId="707B32D1" w14:textId="77777777" w:rsidR="00ED6DDA" w:rsidRPr="00EC2D0F" w:rsidRDefault="00ED6DDA" w:rsidP="00092CA8">
      <w:pPr>
        <w:ind w:firstLine="567"/>
        <w:rPr>
          <w:rFonts w:ascii="Century Gothic" w:hAnsi="Century Gothic" w:cs="Arial"/>
          <w:sz w:val="17"/>
          <w:szCs w:val="17"/>
        </w:rPr>
      </w:pPr>
    </w:p>
    <w:p w14:paraId="41596919"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xml:space="preserve">• certifie que </w:t>
      </w:r>
      <w:r w:rsidRPr="00EC2D0F">
        <w:rPr>
          <w:rFonts w:ascii="Century Gothic" w:hAnsi="Century Gothic" w:cs="Arial"/>
          <w:i/>
          <w:sz w:val="17"/>
          <w:szCs w:val="17"/>
        </w:rPr>
        <w:t>[IMF]</w:t>
      </w:r>
      <w:r w:rsidRPr="00EC2D0F">
        <w:rPr>
          <w:rFonts w:ascii="Century Gothic" w:hAnsi="Century Gothic" w:cs="Arial"/>
          <w:sz w:val="17"/>
          <w:szCs w:val="17"/>
        </w:rPr>
        <w:t xml:space="preserve"> est soumise au contrôle d’une Autorité de Supervision Nationale </w:t>
      </w:r>
      <w:r w:rsidRPr="00EC2D0F">
        <w:rPr>
          <w:rFonts w:ascii="Century Gothic" w:hAnsi="Century Gothic" w:cs="Arial"/>
          <w:i/>
          <w:sz w:val="17"/>
          <w:szCs w:val="17"/>
        </w:rPr>
        <w:t>(insérer le nom de l’autorité)</w:t>
      </w:r>
      <w:r w:rsidRPr="00EC2D0F">
        <w:rPr>
          <w:rFonts w:ascii="Century Gothic" w:hAnsi="Century Gothic" w:cs="Arial"/>
          <w:sz w:val="17"/>
          <w:szCs w:val="17"/>
        </w:rPr>
        <w:t xml:space="preserve"> et n’a pas fait l’objet d’une enquête de la part de cette dernière soulevant des défaillances dans son dispositif de lutte contre le blanchiment </w:t>
      </w:r>
      <w:r w:rsidR="00092CA8" w:rsidRPr="00EC2D0F">
        <w:rPr>
          <w:rFonts w:ascii="Century Gothic" w:hAnsi="Century Gothic" w:cs="Arial"/>
          <w:sz w:val="17"/>
          <w:szCs w:val="17"/>
        </w:rPr>
        <w:t>et le financement du terrorisme</w:t>
      </w:r>
      <w:r w:rsidR="00092CA8" w:rsidRPr="00EC2D0F">
        <w:rPr>
          <w:rStyle w:val="Appelnotedebasdep"/>
          <w:rFonts w:ascii="Century Gothic" w:hAnsi="Century Gothic" w:cs="Arial"/>
          <w:sz w:val="17"/>
          <w:szCs w:val="17"/>
        </w:rPr>
        <w:footnoteReference w:id="5"/>
      </w:r>
      <w:r w:rsidRPr="00EC2D0F">
        <w:rPr>
          <w:rFonts w:ascii="Century Gothic" w:hAnsi="Century Gothic" w:cs="Arial"/>
          <w:sz w:val="17"/>
          <w:szCs w:val="17"/>
        </w:rPr>
        <w:t xml:space="preserve"> ;</w:t>
      </w:r>
    </w:p>
    <w:p w14:paraId="1E21B096" w14:textId="77777777" w:rsidR="00ED6DDA" w:rsidRPr="00EC2D0F" w:rsidRDefault="00ED6DDA" w:rsidP="00092CA8">
      <w:pPr>
        <w:ind w:firstLine="567"/>
        <w:rPr>
          <w:rFonts w:ascii="Century Gothic" w:hAnsi="Century Gothic" w:cs="Arial"/>
          <w:sz w:val="17"/>
          <w:szCs w:val="17"/>
        </w:rPr>
      </w:pPr>
    </w:p>
    <w:p w14:paraId="0D802F6E"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xml:space="preserve">• certifie que </w:t>
      </w:r>
      <w:r w:rsidR="00092CA8" w:rsidRPr="00EC2D0F">
        <w:rPr>
          <w:rFonts w:ascii="Century Gothic" w:hAnsi="Century Gothic" w:cs="Arial"/>
          <w:i/>
          <w:sz w:val="17"/>
          <w:szCs w:val="17"/>
        </w:rPr>
        <w:t>[IMF]</w:t>
      </w:r>
      <w:r w:rsidR="00092CA8" w:rsidRPr="00EC2D0F">
        <w:rPr>
          <w:rFonts w:ascii="Century Gothic" w:hAnsi="Century Gothic" w:cs="Arial"/>
          <w:sz w:val="17"/>
          <w:szCs w:val="17"/>
        </w:rPr>
        <w:t xml:space="preserve"> </w:t>
      </w:r>
      <w:r w:rsidRPr="00EC2D0F">
        <w:rPr>
          <w:rFonts w:ascii="Century Gothic" w:hAnsi="Century Gothic" w:cs="Arial"/>
          <w:sz w:val="17"/>
          <w:szCs w:val="17"/>
        </w:rPr>
        <w:t xml:space="preserve">forme chaque année </w:t>
      </w:r>
      <w:r w:rsidRPr="00EC2D0F">
        <w:rPr>
          <w:rFonts w:ascii="Century Gothic" w:hAnsi="Century Gothic" w:cs="Arial"/>
          <w:i/>
          <w:sz w:val="17"/>
          <w:szCs w:val="17"/>
        </w:rPr>
        <w:t>[nombre]</w:t>
      </w:r>
      <w:r w:rsidRPr="00EC2D0F">
        <w:rPr>
          <w:rFonts w:ascii="Century Gothic" w:hAnsi="Century Gothic" w:cs="Arial"/>
          <w:sz w:val="17"/>
          <w:szCs w:val="17"/>
        </w:rPr>
        <w:t xml:space="preserve"> collaborateurs à la lutte contre le blanchiment et le financement du terrorisme ;</w:t>
      </w:r>
    </w:p>
    <w:p w14:paraId="09A846A3" w14:textId="77777777" w:rsidR="00ED6DDA" w:rsidRPr="00EC2D0F" w:rsidRDefault="00ED6DDA" w:rsidP="00092CA8">
      <w:pPr>
        <w:ind w:firstLine="567"/>
        <w:rPr>
          <w:rFonts w:ascii="Century Gothic" w:hAnsi="Century Gothic" w:cs="Arial"/>
          <w:sz w:val="17"/>
          <w:szCs w:val="17"/>
        </w:rPr>
      </w:pPr>
    </w:p>
    <w:p w14:paraId="17AA8D1F"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 certifie que l’IMF a, au cours de l’année passée</w:t>
      </w:r>
      <w:r w:rsidR="00092CA8" w:rsidRPr="00EC2D0F">
        <w:rPr>
          <w:rStyle w:val="Appelnotedebasdep"/>
          <w:rFonts w:ascii="Century Gothic" w:hAnsi="Century Gothic" w:cs="Arial"/>
          <w:sz w:val="17"/>
          <w:szCs w:val="17"/>
        </w:rPr>
        <w:footnoteReference w:id="6"/>
      </w:r>
      <w:r w:rsidRPr="00EC2D0F">
        <w:rPr>
          <w:rFonts w:ascii="Century Gothic" w:hAnsi="Century Gothic" w:cs="Arial"/>
          <w:sz w:val="17"/>
          <w:szCs w:val="17"/>
        </w:rPr>
        <w:t>,</w:t>
      </w:r>
    </w:p>
    <w:p w14:paraId="04F490B1" w14:textId="77777777" w:rsidR="00ED6DDA" w:rsidRPr="00EC2D0F" w:rsidRDefault="00092CA8" w:rsidP="00092CA8">
      <w:pPr>
        <w:ind w:left="284" w:firstLine="567"/>
        <w:rPr>
          <w:rFonts w:ascii="Century Gothic" w:hAnsi="Century Gothic" w:cs="Arial"/>
          <w:sz w:val="17"/>
          <w:szCs w:val="17"/>
        </w:rPr>
      </w:pPr>
      <w:r w:rsidRPr="00EC2D0F">
        <w:rPr>
          <w:rFonts w:ascii="Century Gothic" w:hAnsi="Century Gothic" w:cs="Arial"/>
          <w:sz w:val="17"/>
          <w:szCs w:val="17"/>
        </w:rPr>
        <w:t xml:space="preserve">- </w:t>
      </w:r>
      <w:r w:rsidR="00ED6DDA" w:rsidRPr="00EC2D0F">
        <w:rPr>
          <w:rFonts w:ascii="Century Gothic" w:hAnsi="Century Gothic" w:cs="Arial"/>
          <w:sz w:val="17"/>
          <w:szCs w:val="17"/>
        </w:rPr>
        <w:t xml:space="preserve">suspendu </w:t>
      </w:r>
      <w:r w:rsidR="00ED6DDA" w:rsidRPr="00EC2D0F">
        <w:rPr>
          <w:rFonts w:ascii="Century Gothic" w:hAnsi="Century Gothic" w:cs="Arial"/>
          <w:i/>
          <w:sz w:val="17"/>
          <w:szCs w:val="17"/>
        </w:rPr>
        <w:t>[nombre]</w:t>
      </w:r>
      <w:r w:rsidR="00ED6DDA" w:rsidRPr="00EC2D0F">
        <w:rPr>
          <w:rFonts w:ascii="Century Gothic" w:hAnsi="Century Gothic" w:cs="Arial"/>
          <w:sz w:val="17"/>
          <w:szCs w:val="17"/>
        </w:rPr>
        <w:t xml:space="preserve"> opérations pour suspicions de blanchiment et de financement du terrorisme,</w:t>
      </w:r>
    </w:p>
    <w:p w14:paraId="355F9325" w14:textId="77777777" w:rsidR="00ED6DDA" w:rsidRPr="00EC2D0F" w:rsidRDefault="00092CA8" w:rsidP="00092CA8">
      <w:pPr>
        <w:ind w:left="284" w:firstLine="567"/>
        <w:rPr>
          <w:rFonts w:ascii="Century Gothic" w:hAnsi="Century Gothic" w:cs="Arial"/>
          <w:sz w:val="17"/>
          <w:szCs w:val="17"/>
        </w:rPr>
      </w:pPr>
      <w:r w:rsidRPr="00EC2D0F">
        <w:rPr>
          <w:rFonts w:ascii="Century Gothic" w:hAnsi="Century Gothic" w:cs="Arial"/>
          <w:sz w:val="17"/>
          <w:szCs w:val="17"/>
        </w:rPr>
        <w:t xml:space="preserve">- </w:t>
      </w:r>
      <w:r w:rsidR="00ED6DDA" w:rsidRPr="00EC2D0F">
        <w:rPr>
          <w:rFonts w:ascii="Century Gothic" w:hAnsi="Century Gothic" w:cs="Arial"/>
          <w:sz w:val="17"/>
          <w:szCs w:val="17"/>
        </w:rPr>
        <w:t xml:space="preserve">refusé </w:t>
      </w:r>
      <w:r w:rsidR="00ED6DDA" w:rsidRPr="00EC2D0F">
        <w:rPr>
          <w:rFonts w:ascii="Century Gothic" w:hAnsi="Century Gothic" w:cs="Arial"/>
          <w:i/>
          <w:sz w:val="17"/>
          <w:szCs w:val="17"/>
        </w:rPr>
        <w:t xml:space="preserve">[nombre] </w:t>
      </w:r>
      <w:r w:rsidR="00ED6DDA" w:rsidRPr="00EC2D0F">
        <w:rPr>
          <w:rFonts w:ascii="Century Gothic" w:hAnsi="Century Gothic" w:cs="Arial"/>
          <w:sz w:val="17"/>
          <w:szCs w:val="17"/>
        </w:rPr>
        <w:t>opérations pour suspicions de blanchiment et de financement du terrorisme,</w:t>
      </w:r>
    </w:p>
    <w:p w14:paraId="2E9CB8CD" w14:textId="77777777" w:rsidR="00ED6DDA" w:rsidRPr="00EC2D0F" w:rsidRDefault="00092CA8" w:rsidP="00092CA8">
      <w:pPr>
        <w:ind w:left="284" w:firstLine="567"/>
        <w:rPr>
          <w:rFonts w:ascii="Century Gothic" w:hAnsi="Century Gothic" w:cs="Arial"/>
          <w:sz w:val="17"/>
          <w:szCs w:val="17"/>
        </w:rPr>
      </w:pPr>
      <w:r w:rsidRPr="00EC2D0F">
        <w:rPr>
          <w:rFonts w:ascii="Century Gothic" w:hAnsi="Century Gothic" w:cs="Arial"/>
          <w:sz w:val="17"/>
          <w:szCs w:val="17"/>
        </w:rPr>
        <w:t xml:space="preserve">- </w:t>
      </w:r>
      <w:r w:rsidR="00ED6DDA" w:rsidRPr="00EC2D0F">
        <w:rPr>
          <w:rFonts w:ascii="Century Gothic" w:hAnsi="Century Gothic" w:cs="Arial"/>
          <w:sz w:val="17"/>
          <w:szCs w:val="17"/>
        </w:rPr>
        <w:t xml:space="preserve">procédé à </w:t>
      </w:r>
      <w:r w:rsidR="00ED6DDA" w:rsidRPr="00EC2D0F">
        <w:rPr>
          <w:rFonts w:ascii="Century Gothic" w:hAnsi="Century Gothic" w:cs="Arial"/>
          <w:i/>
          <w:sz w:val="17"/>
          <w:szCs w:val="17"/>
        </w:rPr>
        <w:t>[nombre]</w:t>
      </w:r>
      <w:r w:rsidR="00ED6DDA" w:rsidRPr="00EC2D0F">
        <w:rPr>
          <w:rFonts w:ascii="Century Gothic" w:hAnsi="Century Gothic" w:cs="Arial"/>
          <w:sz w:val="17"/>
          <w:szCs w:val="17"/>
        </w:rPr>
        <w:t xml:space="preserve"> déclarations de soupçons à la cellule de renseignements financiers du </w:t>
      </w:r>
      <w:r w:rsidR="00ED6DDA" w:rsidRPr="00EC2D0F">
        <w:rPr>
          <w:rFonts w:ascii="Century Gothic" w:hAnsi="Century Gothic" w:cs="Arial"/>
          <w:i/>
          <w:sz w:val="17"/>
          <w:szCs w:val="17"/>
        </w:rPr>
        <w:t>[pays]</w:t>
      </w:r>
      <w:r w:rsidR="00ED6DDA" w:rsidRPr="00EC2D0F">
        <w:rPr>
          <w:rFonts w:ascii="Century Gothic" w:hAnsi="Century Gothic" w:cs="Arial"/>
          <w:sz w:val="17"/>
          <w:szCs w:val="17"/>
        </w:rPr>
        <w:t xml:space="preserve"> ;</w:t>
      </w:r>
    </w:p>
    <w:p w14:paraId="4D6A5974" w14:textId="77777777" w:rsidR="00ED6DDA" w:rsidRPr="00EC2D0F" w:rsidRDefault="00ED6DDA" w:rsidP="00092CA8">
      <w:pPr>
        <w:ind w:firstLine="567"/>
        <w:rPr>
          <w:rFonts w:ascii="Century Gothic" w:hAnsi="Century Gothic" w:cs="Arial"/>
          <w:sz w:val="17"/>
          <w:szCs w:val="17"/>
        </w:rPr>
      </w:pPr>
    </w:p>
    <w:p w14:paraId="03F68DD6" w14:textId="77777777" w:rsidR="00ED6DDA" w:rsidRPr="00EC2D0F" w:rsidRDefault="00ED6DDA" w:rsidP="00092CA8">
      <w:pPr>
        <w:ind w:firstLine="567"/>
        <w:rPr>
          <w:rFonts w:ascii="Century Gothic" w:hAnsi="Century Gothic" w:cs="Arial"/>
          <w:sz w:val="17"/>
          <w:szCs w:val="17"/>
        </w:rPr>
      </w:pPr>
      <w:r w:rsidRPr="00EC2D0F">
        <w:rPr>
          <w:rFonts w:ascii="Century Gothic" w:hAnsi="Century Gothic" w:cs="Arial"/>
          <w:sz w:val="17"/>
          <w:szCs w:val="17"/>
        </w:rPr>
        <w:t>•</w:t>
      </w:r>
      <w:r w:rsidR="00092CA8" w:rsidRPr="00EC2D0F">
        <w:rPr>
          <w:rFonts w:ascii="Century Gothic" w:hAnsi="Century Gothic" w:cs="Arial"/>
          <w:sz w:val="17"/>
          <w:szCs w:val="17"/>
        </w:rPr>
        <w:t xml:space="preserve"> </w:t>
      </w:r>
      <w:r w:rsidRPr="00EC2D0F">
        <w:rPr>
          <w:rFonts w:ascii="Century Gothic" w:hAnsi="Century Gothic" w:cs="Arial"/>
          <w:sz w:val="17"/>
          <w:szCs w:val="17"/>
        </w:rPr>
        <w:t>certifie que l’audit interne/l’inspection de [l’IMF], procède régulièrement à un contrôle de la mise en œuvre par son personnel de la procédure opérationnelle en matière de lutte contre le blanchiment et le financement du terrorisme.</w:t>
      </w:r>
    </w:p>
    <w:p w14:paraId="24AC044A" w14:textId="77777777" w:rsidR="00ED6DDA" w:rsidRPr="00EC2D0F" w:rsidRDefault="00ED6DDA" w:rsidP="00ED6DDA">
      <w:pPr>
        <w:rPr>
          <w:rFonts w:ascii="Century Gothic" w:hAnsi="Century Gothic" w:cs="Arial"/>
          <w:sz w:val="17"/>
          <w:szCs w:val="17"/>
        </w:rPr>
      </w:pPr>
    </w:p>
    <w:p w14:paraId="762D518A" w14:textId="77777777" w:rsidR="00ED6DDA" w:rsidRPr="00EC2D0F" w:rsidRDefault="00ED6DDA" w:rsidP="00ED6DDA">
      <w:pPr>
        <w:rPr>
          <w:rFonts w:ascii="Century Gothic" w:hAnsi="Century Gothic" w:cs="Arial"/>
          <w:sz w:val="17"/>
          <w:szCs w:val="17"/>
        </w:rPr>
      </w:pPr>
    </w:p>
    <w:p w14:paraId="439DFFFD" w14:textId="77777777" w:rsidR="00ED6DDA" w:rsidRPr="00EC2D0F" w:rsidRDefault="00ED6DDA" w:rsidP="00ED6DDA">
      <w:pPr>
        <w:jc w:val="right"/>
        <w:rPr>
          <w:rFonts w:ascii="Century Gothic" w:hAnsi="Century Gothic" w:cs="Arial"/>
          <w:sz w:val="17"/>
          <w:szCs w:val="17"/>
        </w:rPr>
      </w:pPr>
      <w:r w:rsidRPr="00EC2D0F">
        <w:rPr>
          <w:rFonts w:ascii="Century Gothic" w:hAnsi="Century Gothic" w:cs="Arial"/>
          <w:sz w:val="17"/>
          <w:szCs w:val="17"/>
        </w:rPr>
        <w:t>Fait à</w:t>
      </w:r>
      <w:proofErr w:type="gramStart"/>
      <w:r w:rsidRPr="00EC2D0F">
        <w:rPr>
          <w:rFonts w:ascii="Century Gothic" w:hAnsi="Century Gothic" w:cs="Arial"/>
          <w:sz w:val="17"/>
          <w:szCs w:val="17"/>
        </w:rPr>
        <w:t xml:space="preserve"> ….</w:t>
      </w:r>
      <w:proofErr w:type="gramEnd"/>
      <w:r w:rsidRPr="00EC2D0F">
        <w:rPr>
          <w:rFonts w:ascii="Century Gothic" w:hAnsi="Century Gothic" w:cs="Arial"/>
          <w:sz w:val="17"/>
          <w:szCs w:val="17"/>
        </w:rPr>
        <w:t>…… , le ………..…..</w:t>
      </w:r>
    </w:p>
    <w:p w14:paraId="1F725345" w14:textId="77777777" w:rsidR="00ED6DDA" w:rsidRPr="00EC2D0F" w:rsidRDefault="00ED6DDA" w:rsidP="00ED6DDA">
      <w:pPr>
        <w:jc w:val="right"/>
        <w:rPr>
          <w:rFonts w:ascii="Century Gothic" w:hAnsi="Century Gothic" w:cs="Arial"/>
          <w:sz w:val="17"/>
          <w:szCs w:val="17"/>
        </w:rPr>
      </w:pPr>
    </w:p>
    <w:p w14:paraId="7FF1470B" w14:textId="77777777" w:rsidR="00ED6DDA" w:rsidRPr="00EC2D0F" w:rsidRDefault="00ED6DDA" w:rsidP="00ED6DDA">
      <w:pPr>
        <w:jc w:val="right"/>
        <w:rPr>
          <w:rFonts w:ascii="Century Gothic" w:hAnsi="Century Gothic" w:cs="Arial"/>
          <w:sz w:val="17"/>
          <w:szCs w:val="17"/>
        </w:rPr>
      </w:pPr>
    </w:p>
    <w:p w14:paraId="663F6E0D" w14:textId="77777777" w:rsidR="00ED6DDA" w:rsidRPr="00EC2D0F" w:rsidRDefault="00ED6DDA" w:rsidP="00ED6DDA">
      <w:pPr>
        <w:jc w:val="right"/>
        <w:rPr>
          <w:rFonts w:ascii="Century Gothic" w:hAnsi="Century Gothic" w:cs="Arial"/>
          <w:sz w:val="17"/>
          <w:szCs w:val="17"/>
        </w:rPr>
      </w:pPr>
      <w:r w:rsidRPr="00EC2D0F">
        <w:rPr>
          <w:rFonts w:ascii="Century Gothic" w:hAnsi="Century Gothic" w:cs="Arial"/>
          <w:sz w:val="17"/>
          <w:szCs w:val="17"/>
        </w:rPr>
        <w:t>Signature</w:t>
      </w:r>
    </w:p>
    <w:p w14:paraId="2A6DC8B5" w14:textId="77777777" w:rsidR="00ED6DDA" w:rsidRPr="00EC2D0F" w:rsidRDefault="00ED6DDA" w:rsidP="00ED6DDA">
      <w:pPr>
        <w:rPr>
          <w:rFonts w:ascii="Century Gothic" w:hAnsi="Century Gothic" w:cs="Arial"/>
          <w:sz w:val="18"/>
        </w:rPr>
      </w:pPr>
    </w:p>
    <w:p w14:paraId="50B99561" w14:textId="77777777" w:rsidR="00ED6DDA" w:rsidRPr="00EC2D0F" w:rsidRDefault="00ED6DDA" w:rsidP="00ED6DDA">
      <w:pPr>
        <w:rPr>
          <w:rFonts w:ascii="Century Gothic" w:hAnsi="Century Gothic" w:cs="Arial"/>
          <w:b/>
          <w:sz w:val="18"/>
        </w:rPr>
      </w:pPr>
    </w:p>
    <w:p w14:paraId="7AA48AF8" w14:textId="77777777" w:rsidR="00ED6DDA" w:rsidRPr="00EC2D0F" w:rsidRDefault="00ED6DDA" w:rsidP="00ED6DDA">
      <w:pPr>
        <w:jc w:val="both"/>
        <w:rPr>
          <w:rFonts w:ascii="Century Gothic" w:hAnsi="Century Gothic" w:cs="Arial"/>
          <w:b/>
          <w:sz w:val="18"/>
        </w:rPr>
      </w:pPr>
    </w:p>
    <w:p w14:paraId="1574390B" w14:textId="77777777" w:rsidR="00092CA8" w:rsidRPr="00EC2D0F" w:rsidRDefault="00092CA8">
      <w:pPr>
        <w:rPr>
          <w:rFonts w:ascii="Century Gothic" w:hAnsi="Century Gothic" w:cs="Arial"/>
          <w:sz w:val="18"/>
        </w:rPr>
      </w:pPr>
      <w:r w:rsidRPr="00EC2D0F">
        <w:rPr>
          <w:rFonts w:ascii="Century Gothic" w:hAnsi="Century Gothic" w:cs="Arial"/>
          <w:sz w:val="18"/>
        </w:rPr>
        <w:br w:type="page"/>
      </w:r>
    </w:p>
    <w:p w14:paraId="26BD12AB" w14:textId="09A26A33" w:rsidR="00ED6DDA" w:rsidRPr="000A4C59" w:rsidRDefault="00092CA8">
      <w:pPr>
        <w:jc w:val="both"/>
        <w:rPr>
          <w:rFonts w:ascii="Century Gothic" w:hAnsi="Century Gothic" w:cs="Times New Roman"/>
          <w:b/>
          <w:color w:val="0070C0"/>
        </w:rPr>
      </w:pPr>
      <w:r w:rsidRPr="000A4C59">
        <w:rPr>
          <w:rFonts w:ascii="Century Gothic" w:hAnsi="Century Gothic" w:cs="Times New Roman"/>
          <w:b/>
          <w:color w:val="0070C0"/>
        </w:rPr>
        <w:lastRenderedPageBreak/>
        <w:t xml:space="preserve">Annexe </w:t>
      </w:r>
      <w:r w:rsidR="003820BE" w:rsidRPr="000A4C59">
        <w:rPr>
          <w:rFonts w:ascii="Century Gothic" w:hAnsi="Century Gothic" w:cs="Times New Roman"/>
          <w:b/>
          <w:color w:val="0070C0"/>
        </w:rPr>
        <w:t>7</w:t>
      </w:r>
      <w:r w:rsidRPr="000A4C59">
        <w:rPr>
          <w:rFonts w:ascii="Century Gothic" w:hAnsi="Century Gothic" w:cs="Times New Roman"/>
          <w:b/>
          <w:color w:val="0070C0"/>
        </w:rPr>
        <w:t>.4 - Attestation de l’IMF certifiant l’existence d’une procédure LCB-FT en vigueur en son sein et la mise en œuvre effective de cette procédure (VA)</w:t>
      </w:r>
    </w:p>
    <w:p w14:paraId="3E820263" w14:textId="77777777" w:rsidR="00092CA8" w:rsidRPr="00EC2D0F" w:rsidRDefault="00092CA8" w:rsidP="00092CA8">
      <w:pPr>
        <w:jc w:val="both"/>
        <w:rPr>
          <w:rFonts w:ascii="Century Gothic" w:hAnsi="Century Gothic" w:cs="Arial"/>
          <w:sz w:val="18"/>
        </w:rPr>
      </w:pPr>
    </w:p>
    <w:p w14:paraId="1CA268C2" w14:textId="77777777" w:rsidR="00092CA8" w:rsidRPr="00EC2D0F" w:rsidRDefault="00092CA8" w:rsidP="00092CA8">
      <w:pPr>
        <w:jc w:val="both"/>
        <w:rPr>
          <w:rFonts w:ascii="Century Gothic" w:hAnsi="Century Gothic" w:cs="Arial"/>
          <w:i/>
          <w:sz w:val="17"/>
          <w:szCs w:val="17"/>
          <w:lang w:val="en-US"/>
        </w:rPr>
      </w:pPr>
      <w:r w:rsidRPr="00EC2D0F">
        <w:rPr>
          <w:rFonts w:ascii="Century Gothic" w:hAnsi="Century Gothic" w:cs="Arial"/>
          <w:i/>
          <w:sz w:val="17"/>
          <w:szCs w:val="17"/>
          <w:lang w:val="en-US"/>
        </w:rPr>
        <w:t>Letterhead of the Bank</w:t>
      </w:r>
    </w:p>
    <w:p w14:paraId="1D999752" w14:textId="77777777" w:rsidR="00092CA8" w:rsidRPr="00EC2D0F" w:rsidRDefault="00092CA8" w:rsidP="00092CA8">
      <w:pPr>
        <w:jc w:val="both"/>
        <w:rPr>
          <w:rFonts w:ascii="Century Gothic" w:hAnsi="Century Gothic" w:cs="Arial"/>
          <w:sz w:val="17"/>
          <w:szCs w:val="17"/>
          <w:lang w:val="en-US"/>
        </w:rPr>
      </w:pPr>
    </w:p>
    <w:p w14:paraId="284EEB26" w14:textId="77777777" w:rsidR="00092CA8" w:rsidRPr="00EC2D0F" w:rsidRDefault="00092CA8" w:rsidP="00092CA8">
      <w:pPr>
        <w:jc w:val="center"/>
        <w:rPr>
          <w:rFonts w:ascii="Century Gothic" w:hAnsi="Century Gothic" w:cs="Arial"/>
          <w:sz w:val="17"/>
          <w:szCs w:val="17"/>
          <w:lang w:val="en-US"/>
        </w:rPr>
      </w:pPr>
      <w:r w:rsidRPr="00EC2D0F">
        <w:rPr>
          <w:rFonts w:ascii="Century Gothic" w:hAnsi="Century Gothic" w:cs="Arial"/>
          <w:sz w:val="17"/>
          <w:szCs w:val="17"/>
          <w:lang w:val="en-US"/>
        </w:rPr>
        <w:t>CERTIFICATION</w:t>
      </w:r>
    </w:p>
    <w:p w14:paraId="769FD9C8" w14:textId="77777777" w:rsidR="00092CA8" w:rsidRPr="00EC2D0F" w:rsidRDefault="00092CA8" w:rsidP="00092CA8">
      <w:pPr>
        <w:jc w:val="both"/>
        <w:rPr>
          <w:rFonts w:ascii="Century Gothic" w:hAnsi="Century Gothic" w:cs="Arial"/>
          <w:sz w:val="17"/>
          <w:szCs w:val="17"/>
          <w:lang w:val="en-US"/>
        </w:rPr>
      </w:pPr>
    </w:p>
    <w:p w14:paraId="6D72CAB6"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I, undersigned ………………………………… Head Compliance Officer /Internal Control Director/ Audit Director or Chief Executive Officer of [financial institution’s name];</w:t>
      </w:r>
    </w:p>
    <w:p w14:paraId="67D78819" w14:textId="77777777" w:rsidR="00092CA8" w:rsidRPr="00EC2D0F" w:rsidRDefault="00092CA8" w:rsidP="00092CA8">
      <w:pPr>
        <w:ind w:firstLine="567"/>
        <w:jc w:val="both"/>
        <w:rPr>
          <w:rFonts w:ascii="Century Gothic" w:hAnsi="Century Gothic" w:cs="Arial"/>
          <w:sz w:val="17"/>
          <w:szCs w:val="17"/>
          <w:lang w:val="en-US"/>
        </w:rPr>
      </w:pPr>
    </w:p>
    <w:p w14:paraId="528D1B25"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Certify that the procedure, entitled […], adopted on [….] is the Anti-Money laundering and Counter Terrorism Financing (AML/CFT) internal operational procedure of [financial institution];</w:t>
      </w:r>
    </w:p>
    <w:p w14:paraId="0A574225" w14:textId="77777777" w:rsidR="00092CA8" w:rsidRPr="00EC2D0F" w:rsidRDefault="00092CA8" w:rsidP="00092CA8">
      <w:pPr>
        <w:ind w:firstLine="567"/>
        <w:jc w:val="both"/>
        <w:rPr>
          <w:rFonts w:ascii="Century Gothic" w:hAnsi="Century Gothic" w:cs="Arial"/>
          <w:sz w:val="17"/>
          <w:szCs w:val="17"/>
          <w:lang w:val="en-US"/>
        </w:rPr>
      </w:pPr>
    </w:p>
    <w:p w14:paraId="509147E7"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Certify that this procedure, currently in force within the institution, applies to all its activities and is in conformity with the 40 recommendations of the FATF;</w:t>
      </w:r>
    </w:p>
    <w:p w14:paraId="7080472D" w14:textId="77777777" w:rsidR="00092CA8" w:rsidRPr="00EC2D0F" w:rsidRDefault="00092CA8" w:rsidP="00092CA8">
      <w:pPr>
        <w:ind w:firstLine="567"/>
        <w:jc w:val="both"/>
        <w:rPr>
          <w:rFonts w:ascii="Century Gothic" w:hAnsi="Century Gothic" w:cs="Arial"/>
          <w:sz w:val="17"/>
          <w:szCs w:val="17"/>
          <w:lang w:val="en-US"/>
        </w:rPr>
      </w:pPr>
    </w:p>
    <w:p w14:paraId="04377686"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xml:space="preserve">• Certify that </w:t>
      </w:r>
      <w:r w:rsidRPr="00EC2D0F">
        <w:rPr>
          <w:rFonts w:ascii="Century Gothic" w:hAnsi="Century Gothic" w:cs="Arial"/>
          <w:i/>
          <w:sz w:val="17"/>
          <w:szCs w:val="17"/>
          <w:lang w:val="en-US"/>
        </w:rPr>
        <w:t xml:space="preserve">[financial institution] </w:t>
      </w:r>
      <w:r w:rsidRPr="00EC2D0F">
        <w:rPr>
          <w:rFonts w:ascii="Century Gothic" w:hAnsi="Century Gothic" w:cs="Arial"/>
          <w:sz w:val="17"/>
          <w:szCs w:val="17"/>
          <w:lang w:val="en-US"/>
        </w:rPr>
        <w:t xml:space="preserve">systematically takes into account the updated lists of financial sanctions adopted by the United Nations, the European Union and France, and screens </w:t>
      </w:r>
      <w:r w:rsidRPr="00EC2D0F">
        <w:rPr>
          <w:rFonts w:ascii="Century Gothic" w:hAnsi="Century Gothic" w:cs="Arial"/>
          <w:i/>
          <w:sz w:val="17"/>
          <w:szCs w:val="17"/>
          <w:lang w:val="en-US"/>
        </w:rPr>
        <w:t>[part]</w:t>
      </w:r>
      <w:r w:rsidRPr="00EC2D0F">
        <w:rPr>
          <w:rFonts w:ascii="Century Gothic" w:hAnsi="Century Gothic" w:cs="Arial"/>
          <w:sz w:val="17"/>
          <w:szCs w:val="17"/>
          <w:lang w:val="en-US"/>
        </w:rPr>
        <w:t xml:space="preserve"> of its clients and operations </w:t>
      </w:r>
      <w:r w:rsidRPr="00EC2D0F">
        <w:rPr>
          <w:rFonts w:ascii="Century Gothic" w:hAnsi="Century Gothic" w:cs="Arial"/>
          <w:i/>
          <w:sz w:val="17"/>
          <w:szCs w:val="17"/>
          <w:lang w:val="en-US"/>
        </w:rPr>
        <w:t>[above a certain threshold]</w:t>
      </w:r>
      <w:r w:rsidRPr="00EC2D0F">
        <w:rPr>
          <w:rFonts w:ascii="Century Gothic" w:hAnsi="Century Gothic" w:cs="Arial"/>
          <w:sz w:val="17"/>
          <w:szCs w:val="17"/>
          <w:lang w:val="en-US"/>
        </w:rPr>
        <w:t xml:space="preserve"> against those lists</w:t>
      </w:r>
      <w:proofErr w:type="gramStart"/>
      <w:r w:rsidRPr="00EC2D0F">
        <w:rPr>
          <w:rFonts w:ascii="Century Gothic" w:hAnsi="Century Gothic" w:cs="Arial"/>
          <w:sz w:val="17"/>
          <w:szCs w:val="17"/>
          <w:lang w:val="en-US"/>
        </w:rPr>
        <w:t>;</w:t>
      </w:r>
      <w:proofErr w:type="gramEnd"/>
    </w:p>
    <w:p w14:paraId="5ECA98D1" w14:textId="77777777" w:rsidR="00092CA8" w:rsidRPr="00EC2D0F" w:rsidRDefault="00092CA8" w:rsidP="00092CA8">
      <w:pPr>
        <w:ind w:firstLine="567"/>
        <w:jc w:val="both"/>
        <w:rPr>
          <w:rFonts w:ascii="Century Gothic" w:hAnsi="Century Gothic" w:cs="Arial"/>
          <w:sz w:val="17"/>
          <w:szCs w:val="17"/>
          <w:lang w:val="en-US"/>
        </w:rPr>
      </w:pPr>
    </w:p>
    <w:p w14:paraId="1D55753A"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xml:space="preserve">• Certify that </w:t>
      </w:r>
      <w:r w:rsidRPr="00EC2D0F">
        <w:rPr>
          <w:rFonts w:ascii="Century Gothic" w:hAnsi="Century Gothic" w:cs="Arial"/>
          <w:i/>
          <w:sz w:val="17"/>
          <w:szCs w:val="17"/>
          <w:lang w:val="en-US"/>
        </w:rPr>
        <w:t>[financial institution]</w:t>
      </w:r>
      <w:r w:rsidRPr="00EC2D0F">
        <w:rPr>
          <w:rFonts w:ascii="Century Gothic" w:hAnsi="Century Gothic" w:cs="Arial"/>
          <w:sz w:val="17"/>
          <w:szCs w:val="17"/>
          <w:lang w:val="en-US"/>
        </w:rPr>
        <w:t xml:space="preserve"> is subjected to the control of a National Authority of Supervision (</w:t>
      </w:r>
      <w:r w:rsidRPr="00EC2D0F">
        <w:rPr>
          <w:rFonts w:ascii="Century Gothic" w:hAnsi="Century Gothic" w:cs="Arial"/>
          <w:i/>
          <w:sz w:val="17"/>
          <w:szCs w:val="17"/>
          <w:lang w:val="en-US"/>
        </w:rPr>
        <w:t>[insert the name of the authority]</w:t>
      </w:r>
      <w:r w:rsidRPr="00EC2D0F">
        <w:rPr>
          <w:rFonts w:ascii="Century Gothic" w:hAnsi="Century Gothic" w:cs="Arial"/>
          <w:sz w:val="17"/>
          <w:szCs w:val="17"/>
          <w:lang w:val="en-US"/>
        </w:rPr>
        <w:t>), and that it hasn’t been submitted to an inquiry revealing deficiencies in its AML/CFT system</w:t>
      </w:r>
      <w:r w:rsidRPr="00EC2D0F">
        <w:rPr>
          <w:rStyle w:val="Appelnotedebasdep"/>
          <w:rFonts w:ascii="Century Gothic" w:hAnsi="Century Gothic" w:cs="Arial"/>
          <w:sz w:val="17"/>
          <w:szCs w:val="17"/>
          <w:lang w:val="en-US"/>
        </w:rPr>
        <w:footnoteReference w:id="7"/>
      </w:r>
      <w:r w:rsidRPr="00EC2D0F">
        <w:rPr>
          <w:rFonts w:ascii="Century Gothic" w:hAnsi="Century Gothic" w:cs="Arial"/>
          <w:sz w:val="17"/>
          <w:szCs w:val="17"/>
          <w:lang w:val="en-US"/>
        </w:rPr>
        <w:t>;</w:t>
      </w:r>
    </w:p>
    <w:p w14:paraId="727EE9BD" w14:textId="77777777" w:rsidR="00092CA8" w:rsidRPr="00EC2D0F" w:rsidRDefault="00092CA8" w:rsidP="00092CA8">
      <w:pPr>
        <w:ind w:firstLine="567"/>
        <w:jc w:val="both"/>
        <w:rPr>
          <w:rFonts w:ascii="Century Gothic" w:hAnsi="Century Gothic" w:cs="Arial"/>
          <w:sz w:val="17"/>
          <w:szCs w:val="17"/>
          <w:lang w:val="en-US"/>
        </w:rPr>
      </w:pPr>
    </w:p>
    <w:p w14:paraId="09D9F64B"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Certify that [financial institution] trains every year [number] staff members on the fight against anti-money laundering and terrorism financing;</w:t>
      </w:r>
    </w:p>
    <w:p w14:paraId="09CA4DD4" w14:textId="77777777" w:rsidR="00092CA8" w:rsidRPr="00EC2D0F" w:rsidRDefault="00092CA8" w:rsidP="00092CA8">
      <w:pPr>
        <w:ind w:firstLine="567"/>
        <w:jc w:val="both"/>
        <w:rPr>
          <w:rFonts w:ascii="Century Gothic" w:hAnsi="Century Gothic" w:cs="Arial"/>
          <w:sz w:val="17"/>
          <w:szCs w:val="17"/>
          <w:lang w:val="en-US"/>
        </w:rPr>
      </w:pPr>
    </w:p>
    <w:p w14:paraId="3118626F"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xml:space="preserve">• Certify that </w:t>
      </w:r>
      <w:r w:rsidRPr="00EC2D0F">
        <w:rPr>
          <w:rFonts w:ascii="Century Gothic" w:hAnsi="Century Gothic" w:cs="Arial"/>
          <w:i/>
          <w:sz w:val="17"/>
          <w:szCs w:val="17"/>
          <w:lang w:val="en-US"/>
        </w:rPr>
        <w:t>[financial institution]</w:t>
      </w:r>
      <w:r w:rsidRPr="00EC2D0F">
        <w:rPr>
          <w:rFonts w:ascii="Century Gothic" w:hAnsi="Century Gothic" w:cs="Arial"/>
          <w:sz w:val="17"/>
          <w:szCs w:val="17"/>
          <w:lang w:val="en-US"/>
        </w:rPr>
        <w:t>, last year</w:t>
      </w:r>
      <w:r w:rsidRPr="00EC2D0F">
        <w:rPr>
          <w:rStyle w:val="Appelnotedebasdep"/>
          <w:rFonts w:ascii="Century Gothic" w:hAnsi="Century Gothic" w:cs="Arial"/>
          <w:sz w:val="17"/>
          <w:szCs w:val="17"/>
          <w:lang w:val="en-US"/>
        </w:rPr>
        <w:footnoteReference w:id="8"/>
      </w:r>
      <w:r w:rsidRPr="00EC2D0F">
        <w:rPr>
          <w:rFonts w:ascii="Century Gothic" w:hAnsi="Century Gothic" w:cs="Arial"/>
          <w:sz w:val="17"/>
          <w:szCs w:val="17"/>
          <w:lang w:val="en-US"/>
        </w:rPr>
        <w:t>:</w:t>
      </w:r>
    </w:p>
    <w:p w14:paraId="0F84FA71" w14:textId="77777777" w:rsidR="00092CA8" w:rsidRPr="00EC2D0F" w:rsidRDefault="00092CA8" w:rsidP="00092CA8">
      <w:pPr>
        <w:ind w:firstLine="709"/>
        <w:jc w:val="both"/>
        <w:rPr>
          <w:rFonts w:ascii="Century Gothic" w:hAnsi="Century Gothic" w:cs="Arial"/>
          <w:sz w:val="17"/>
          <w:szCs w:val="17"/>
          <w:lang w:val="en-US"/>
        </w:rPr>
      </w:pPr>
      <w:r w:rsidRPr="00EC2D0F">
        <w:rPr>
          <w:rFonts w:ascii="Century Gothic" w:hAnsi="Century Gothic" w:cs="Arial"/>
          <w:sz w:val="17"/>
          <w:szCs w:val="17"/>
          <w:lang w:val="en-US"/>
        </w:rPr>
        <w:t xml:space="preserve">- suspended </w:t>
      </w:r>
      <w:r w:rsidRPr="00EC2D0F">
        <w:rPr>
          <w:rFonts w:ascii="Century Gothic" w:hAnsi="Century Gothic" w:cs="Arial"/>
          <w:i/>
          <w:sz w:val="17"/>
          <w:szCs w:val="17"/>
          <w:lang w:val="en-US"/>
        </w:rPr>
        <w:t>[number]</w:t>
      </w:r>
      <w:r w:rsidRPr="00EC2D0F">
        <w:rPr>
          <w:rFonts w:ascii="Century Gothic" w:hAnsi="Century Gothic" w:cs="Arial"/>
          <w:sz w:val="17"/>
          <w:szCs w:val="17"/>
          <w:lang w:val="en-US"/>
        </w:rPr>
        <w:t xml:space="preserve"> operations because of money laundering and/or terrorism financing suspicions;</w:t>
      </w:r>
    </w:p>
    <w:p w14:paraId="7B888AC7" w14:textId="77777777" w:rsidR="00092CA8" w:rsidRPr="00EC2D0F" w:rsidRDefault="00092CA8" w:rsidP="00092CA8">
      <w:pPr>
        <w:ind w:firstLine="709"/>
        <w:jc w:val="both"/>
        <w:rPr>
          <w:rFonts w:ascii="Century Gothic" w:hAnsi="Century Gothic" w:cs="Arial"/>
          <w:sz w:val="17"/>
          <w:szCs w:val="17"/>
          <w:lang w:val="en-US"/>
        </w:rPr>
      </w:pPr>
      <w:r w:rsidRPr="00EC2D0F">
        <w:rPr>
          <w:rFonts w:ascii="Century Gothic" w:hAnsi="Century Gothic" w:cs="Arial"/>
          <w:sz w:val="17"/>
          <w:szCs w:val="17"/>
          <w:lang w:val="en-US"/>
        </w:rPr>
        <w:t xml:space="preserve">- refused </w:t>
      </w:r>
      <w:r w:rsidRPr="00EC2D0F">
        <w:rPr>
          <w:rFonts w:ascii="Century Gothic" w:hAnsi="Century Gothic" w:cs="Arial"/>
          <w:i/>
          <w:sz w:val="17"/>
          <w:szCs w:val="17"/>
          <w:lang w:val="en-US"/>
        </w:rPr>
        <w:t xml:space="preserve">[number] </w:t>
      </w:r>
      <w:r w:rsidRPr="00EC2D0F">
        <w:rPr>
          <w:rFonts w:ascii="Century Gothic" w:hAnsi="Century Gothic" w:cs="Arial"/>
          <w:sz w:val="17"/>
          <w:szCs w:val="17"/>
          <w:lang w:val="en-US"/>
        </w:rPr>
        <w:t>operations because of money laundering and/or terrorism financing suspicions;</w:t>
      </w:r>
    </w:p>
    <w:p w14:paraId="4040EA4E" w14:textId="77777777" w:rsidR="00092CA8" w:rsidRPr="00EC2D0F" w:rsidRDefault="00092CA8" w:rsidP="00092CA8">
      <w:pPr>
        <w:ind w:firstLine="709"/>
        <w:jc w:val="both"/>
        <w:rPr>
          <w:rFonts w:ascii="Century Gothic" w:hAnsi="Century Gothic" w:cs="Arial"/>
          <w:sz w:val="17"/>
          <w:szCs w:val="17"/>
          <w:lang w:val="en-US"/>
        </w:rPr>
      </w:pPr>
      <w:r w:rsidRPr="00EC2D0F">
        <w:rPr>
          <w:rFonts w:ascii="Century Gothic" w:hAnsi="Century Gothic" w:cs="Arial"/>
          <w:sz w:val="17"/>
          <w:szCs w:val="17"/>
          <w:lang w:val="en-US"/>
        </w:rPr>
        <w:t xml:space="preserve">- reported </w:t>
      </w:r>
      <w:r w:rsidRPr="00EC2D0F">
        <w:rPr>
          <w:rFonts w:ascii="Century Gothic" w:hAnsi="Century Gothic" w:cs="Arial"/>
          <w:i/>
          <w:sz w:val="17"/>
          <w:szCs w:val="17"/>
          <w:lang w:val="en-US"/>
        </w:rPr>
        <w:t>[number]</w:t>
      </w:r>
      <w:r w:rsidRPr="00EC2D0F">
        <w:rPr>
          <w:rFonts w:ascii="Century Gothic" w:hAnsi="Century Gothic" w:cs="Arial"/>
          <w:sz w:val="17"/>
          <w:szCs w:val="17"/>
          <w:lang w:val="en-US"/>
        </w:rPr>
        <w:t xml:space="preserve"> suspicious Transaction Reports to the Financial Intelligence Unit of </w:t>
      </w:r>
      <w:r w:rsidRPr="00EC2D0F">
        <w:rPr>
          <w:rFonts w:ascii="Century Gothic" w:hAnsi="Century Gothic" w:cs="Arial"/>
          <w:i/>
          <w:sz w:val="17"/>
          <w:szCs w:val="17"/>
          <w:lang w:val="en-US"/>
        </w:rPr>
        <w:t>[country]</w:t>
      </w:r>
      <w:r w:rsidRPr="00EC2D0F">
        <w:rPr>
          <w:rFonts w:ascii="Century Gothic" w:hAnsi="Century Gothic" w:cs="Arial"/>
          <w:sz w:val="17"/>
          <w:szCs w:val="17"/>
          <w:lang w:val="en-US"/>
        </w:rPr>
        <w:t>;</w:t>
      </w:r>
    </w:p>
    <w:p w14:paraId="15698F7A" w14:textId="77777777" w:rsidR="00092CA8" w:rsidRPr="00EC2D0F" w:rsidRDefault="00092CA8" w:rsidP="00092CA8">
      <w:pPr>
        <w:ind w:firstLine="567"/>
        <w:jc w:val="both"/>
        <w:rPr>
          <w:rFonts w:ascii="Century Gothic" w:hAnsi="Century Gothic" w:cs="Arial"/>
          <w:sz w:val="17"/>
          <w:szCs w:val="17"/>
          <w:lang w:val="en-US"/>
        </w:rPr>
      </w:pPr>
    </w:p>
    <w:p w14:paraId="0DB1E655" w14:textId="77777777" w:rsidR="00092CA8" w:rsidRPr="00EC2D0F" w:rsidRDefault="00092CA8" w:rsidP="00092CA8">
      <w:pPr>
        <w:ind w:firstLine="567"/>
        <w:jc w:val="both"/>
        <w:rPr>
          <w:rFonts w:ascii="Century Gothic" w:hAnsi="Century Gothic" w:cs="Arial"/>
          <w:sz w:val="17"/>
          <w:szCs w:val="17"/>
          <w:lang w:val="en-US"/>
        </w:rPr>
      </w:pPr>
      <w:r w:rsidRPr="00EC2D0F">
        <w:rPr>
          <w:rFonts w:ascii="Century Gothic" w:hAnsi="Century Gothic" w:cs="Arial"/>
          <w:sz w:val="17"/>
          <w:szCs w:val="17"/>
          <w:lang w:val="en-US"/>
        </w:rPr>
        <w:t xml:space="preserve">• Certify that Audit/Internal Control of </w:t>
      </w:r>
      <w:r w:rsidRPr="00EC2D0F">
        <w:rPr>
          <w:rFonts w:ascii="Century Gothic" w:hAnsi="Century Gothic" w:cs="Arial"/>
          <w:i/>
          <w:sz w:val="17"/>
          <w:szCs w:val="17"/>
          <w:lang w:val="en-US"/>
        </w:rPr>
        <w:t xml:space="preserve">[financial institution] </w:t>
      </w:r>
      <w:r w:rsidRPr="00EC2D0F">
        <w:rPr>
          <w:rFonts w:ascii="Century Gothic" w:hAnsi="Century Gothic" w:cs="Arial"/>
          <w:sz w:val="17"/>
          <w:szCs w:val="17"/>
          <w:lang w:val="en-US"/>
        </w:rPr>
        <w:t>regularly controls the implementation by bank’s staff of the AML/CFT operational procedure.</w:t>
      </w:r>
    </w:p>
    <w:p w14:paraId="7CDE0864" w14:textId="77777777" w:rsidR="00092CA8" w:rsidRPr="00EC2D0F" w:rsidRDefault="00092CA8" w:rsidP="00092CA8">
      <w:pPr>
        <w:jc w:val="both"/>
        <w:rPr>
          <w:rFonts w:ascii="Century Gothic" w:hAnsi="Century Gothic" w:cs="Arial"/>
          <w:sz w:val="17"/>
          <w:szCs w:val="17"/>
          <w:lang w:val="en-US"/>
        </w:rPr>
      </w:pPr>
    </w:p>
    <w:p w14:paraId="6CF4E966" w14:textId="77777777" w:rsidR="00092CA8" w:rsidRPr="00EC2D0F" w:rsidRDefault="00092CA8" w:rsidP="00092CA8">
      <w:pPr>
        <w:jc w:val="both"/>
        <w:rPr>
          <w:rFonts w:ascii="Century Gothic" w:hAnsi="Century Gothic" w:cs="Arial"/>
          <w:sz w:val="17"/>
          <w:szCs w:val="17"/>
          <w:lang w:val="en-US"/>
        </w:rPr>
      </w:pPr>
    </w:p>
    <w:p w14:paraId="0AAADEAD" w14:textId="77777777" w:rsidR="00092CA8" w:rsidRPr="00EC2D0F" w:rsidRDefault="00092CA8" w:rsidP="00092CA8">
      <w:pPr>
        <w:jc w:val="both"/>
        <w:rPr>
          <w:rFonts w:ascii="Century Gothic" w:hAnsi="Century Gothic" w:cs="Arial"/>
          <w:sz w:val="17"/>
          <w:szCs w:val="17"/>
          <w:lang w:val="en-US"/>
        </w:rPr>
      </w:pPr>
    </w:p>
    <w:p w14:paraId="582D469F" w14:textId="77777777" w:rsidR="00092CA8" w:rsidRPr="00EC2D0F" w:rsidRDefault="00092CA8" w:rsidP="00092CA8">
      <w:pPr>
        <w:jc w:val="right"/>
        <w:rPr>
          <w:rFonts w:ascii="Century Gothic" w:hAnsi="Century Gothic" w:cs="Arial"/>
          <w:sz w:val="17"/>
          <w:szCs w:val="17"/>
        </w:rPr>
      </w:pPr>
      <w:r w:rsidRPr="00EC2D0F">
        <w:rPr>
          <w:rFonts w:ascii="Century Gothic" w:hAnsi="Century Gothic" w:cs="Arial"/>
          <w:sz w:val="17"/>
          <w:szCs w:val="17"/>
        </w:rPr>
        <w:t>Fait à</w:t>
      </w:r>
      <w:proofErr w:type="gramStart"/>
      <w:r w:rsidRPr="00EC2D0F">
        <w:rPr>
          <w:rFonts w:ascii="Century Gothic" w:hAnsi="Century Gothic" w:cs="Arial"/>
          <w:sz w:val="17"/>
          <w:szCs w:val="17"/>
        </w:rPr>
        <w:t xml:space="preserve"> ….</w:t>
      </w:r>
      <w:proofErr w:type="gramEnd"/>
      <w:r w:rsidRPr="00EC2D0F">
        <w:rPr>
          <w:rFonts w:ascii="Century Gothic" w:hAnsi="Century Gothic" w:cs="Arial"/>
          <w:sz w:val="17"/>
          <w:szCs w:val="17"/>
        </w:rPr>
        <w:t>…… , le ………..…..</w:t>
      </w:r>
    </w:p>
    <w:p w14:paraId="5BFB2F4E" w14:textId="77777777" w:rsidR="00092CA8" w:rsidRPr="00EC2D0F" w:rsidRDefault="00092CA8" w:rsidP="00092CA8">
      <w:pPr>
        <w:jc w:val="right"/>
        <w:rPr>
          <w:rFonts w:ascii="Century Gothic" w:hAnsi="Century Gothic" w:cs="Arial"/>
          <w:sz w:val="17"/>
          <w:szCs w:val="17"/>
        </w:rPr>
      </w:pPr>
    </w:p>
    <w:p w14:paraId="4E52B29B" w14:textId="77777777" w:rsidR="00092CA8" w:rsidRPr="00EC2D0F" w:rsidRDefault="00092CA8" w:rsidP="00092CA8">
      <w:pPr>
        <w:jc w:val="right"/>
        <w:rPr>
          <w:rFonts w:ascii="Century Gothic" w:hAnsi="Century Gothic" w:cs="Arial"/>
          <w:sz w:val="17"/>
          <w:szCs w:val="17"/>
        </w:rPr>
      </w:pPr>
    </w:p>
    <w:p w14:paraId="559AB408" w14:textId="77777777" w:rsidR="00092CA8" w:rsidRPr="00EC2D0F" w:rsidRDefault="00092CA8" w:rsidP="00092CA8">
      <w:pPr>
        <w:jc w:val="right"/>
        <w:rPr>
          <w:rFonts w:ascii="Century Gothic" w:hAnsi="Century Gothic" w:cs="Arial"/>
          <w:sz w:val="17"/>
          <w:szCs w:val="17"/>
        </w:rPr>
      </w:pPr>
      <w:r w:rsidRPr="00EC2D0F">
        <w:rPr>
          <w:rFonts w:ascii="Century Gothic" w:hAnsi="Century Gothic" w:cs="Arial"/>
          <w:sz w:val="17"/>
          <w:szCs w:val="17"/>
        </w:rPr>
        <w:t>Signature</w:t>
      </w:r>
    </w:p>
    <w:p w14:paraId="2AF97AF0" w14:textId="77777777" w:rsidR="00092CA8" w:rsidRPr="00EC2D0F" w:rsidRDefault="00092CA8" w:rsidP="00092CA8">
      <w:pPr>
        <w:jc w:val="right"/>
        <w:rPr>
          <w:rFonts w:ascii="Century Gothic" w:hAnsi="Century Gothic" w:cs="Arial"/>
          <w:sz w:val="18"/>
        </w:rPr>
      </w:pPr>
    </w:p>
    <w:p w14:paraId="3FEE0F78" w14:textId="77777777" w:rsidR="00092CA8" w:rsidRPr="00EC2D0F" w:rsidRDefault="00092CA8">
      <w:pPr>
        <w:jc w:val="both"/>
        <w:rPr>
          <w:rFonts w:ascii="Century Gothic" w:hAnsi="Century Gothic" w:cs="Arial"/>
          <w:sz w:val="18"/>
        </w:rPr>
      </w:pPr>
    </w:p>
    <w:sectPr w:rsidR="00092CA8" w:rsidRPr="00EC2D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BA736" w14:textId="77777777" w:rsidR="008462C9" w:rsidRDefault="008462C9" w:rsidP="0020696B">
      <w:pPr>
        <w:spacing w:line="240" w:lineRule="auto"/>
      </w:pPr>
      <w:r>
        <w:separator/>
      </w:r>
    </w:p>
  </w:endnote>
  <w:endnote w:type="continuationSeparator" w:id="0">
    <w:p w14:paraId="46F16172" w14:textId="77777777" w:rsidR="008462C9" w:rsidRDefault="008462C9" w:rsidP="002069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EEAA2" w14:textId="77777777" w:rsidR="008462C9" w:rsidRDefault="008462C9" w:rsidP="0020696B">
      <w:pPr>
        <w:spacing w:line="240" w:lineRule="auto"/>
      </w:pPr>
      <w:r>
        <w:separator/>
      </w:r>
    </w:p>
  </w:footnote>
  <w:footnote w:type="continuationSeparator" w:id="0">
    <w:p w14:paraId="09CF357C" w14:textId="77777777" w:rsidR="008462C9" w:rsidRDefault="008462C9" w:rsidP="0020696B">
      <w:pPr>
        <w:spacing w:line="240" w:lineRule="auto"/>
      </w:pPr>
      <w:r>
        <w:continuationSeparator/>
      </w:r>
    </w:p>
  </w:footnote>
  <w:footnote w:id="1">
    <w:p w14:paraId="6B0CCF78" w14:textId="194C6FB7" w:rsidR="004C533B" w:rsidRPr="00784F53" w:rsidRDefault="004C533B" w:rsidP="00977F5C">
      <w:pPr>
        <w:autoSpaceDE w:val="0"/>
        <w:autoSpaceDN w:val="0"/>
        <w:adjustRightInd w:val="0"/>
        <w:spacing w:line="240" w:lineRule="auto"/>
        <w:jc w:val="both"/>
      </w:pPr>
      <w:r>
        <w:rPr>
          <w:rStyle w:val="Appelnotedebasdep"/>
        </w:rPr>
        <w:footnoteRef/>
      </w:r>
      <w:r>
        <w:t xml:space="preserve"> </w:t>
      </w:r>
      <w:r w:rsidRPr="00784F53">
        <w:rPr>
          <w:sz w:val="20"/>
          <w:szCs w:val="20"/>
        </w:rPr>
        <w:t>Hors</w:t>
      </w:r>
      <w:r w:rsidR="002A6EA9">
        <w:rPr>
          <w:sz w:val="20"/>
          <w:szCs w:val="20"/>
        </w:rPr>
        <w:t xml:space="preserve"> activités d’octroi de</w:t>
      </w:r>
      <w:r w:rsidRPr="00784F53">
        <w:rPr>
          <w:sz w:val="20"/>
          <w:szCs w:val="20"/>
        </w:rPr>
        <w:t xml:space="preserve"> prêts d</w:t>
      </w:r>
      <w:r w:rsidRPr="002A6EA9">
        <w:rPr>
          <w:sz w:val="20"/>
          <w:szCs w:val="20"/>
        </w:rPr>
        <w:t>’</w:t>
      </w:r>
      <w:r w:rsidR="009A5819">
        <w:rPr>
          <w:sz w:val="20"/>
          <w:szCs w:val="20"/>
        </w:rPr>
        <w:t>honneur</w:t>
      </w:r>
      <w:r w:rsidR="00C21309">
        <w:rPr>
          <w:sz w:val="20"/>
          <w:szCs w:val="20"/>
        </w:rPr>
        <w:t xml:space="preserve">. Sauf disposition contraire dans un pays donné, </w:t>
      </w:r>
      <w:r w:rsidR="009A5819">
        <w:rPr>
          <w:sz w:val="20"/>
          <w:szCs w:val="20"/>
        </w:rPr>
        <w:t>l</w:t>
      </w:r>
      <w:r w:rsidRPr="00784F53">
        <w:rPr>
          <w:sz w:val="20"/>
          <w:szCs w:val="20"/>
        </w:rPr>
        <w:t>e caractère non onéreux du prêt</w:t>
      </w:r>
      <w:r w:rsidR="002A6EA9" w:rsidRPr="002A6EA9">
        <w:rPr>
          <w:sz w:val="20"/>
          <w:szCs w:val="20"/>
        </w:rPr>
        <w:t xml:space="preserve"> d’honneur fait qu’il est </w:t>
      </w:r>
      <w:r w:rsidRPr="00784F53">
        <w:rPr>
          <w:sz w:val="20"/>
          <w:szCs w:val="20"/>
        </w:rPr>
        <w:t>exclu du cadre général de la règlementation bancaire et du cadre spécifique de la réglementation de microfinance.</w:t>
      </w:r>
      <w:r w:rsidR="002A6EA9" w:rsidRPr="00784F53">
        <w:rPr>
          <w:sz w:val="20"/>
          <w:szCs w:val="20"/>
        </w:rPr>
        <w:t xml:space="preserve"> Néanmoins</w:t>
      </w:r>
      <w:r w:rsidR="002A6EA9">
        <w:rPr>
          <w:sz w:val="20"/>
          <w:szCs w:val="20"/>
        </w:rPr>
        <w:t xml:space="preserve"> il est attendu de</w:t>
      </w:r>
      <w:r w:rsidR="00C21309">
        <w:rPr>
          <w:sz w:val="20"/>
          <w:szCs w:val="20"/>
        </w:rPr>
        <w:t xml:space="preserve"> la part des</w:t>
      </w:r>
      <w:r w:rsidR="002A6EA9" w:rsidRPr="00977F5C">
        <w:rPr>
          <w:sz w:val="20"/>
          <w:szCs w:val="20"/>
        </w:rPr>
        <w:t xml:space="preserve"> OSC qui les octroient</w:t>
      </w:r>
      <w:r w:rsidR="002A6EA9">
        <w:rPr>
          <w:sz w:val="20"/>
          <w:szCs w:val="20"/>
        </w:rPr>
        <w:t xml:space="preserve"> </w:t>
      </w:r>
      <w:r w:rsidR="00C21309">
        <w:rPr>
          <w:sz w:val="20"/>
          <w:szCs w:val="20"/>
        </w:rPr>
        <w:t>qu’elles</w:t>
      </w:r>
      <w:r w:rsidR="002A6EA9">
        <w:rPr>
          <w:sz w:val="20"/>
          <w:szCs w:val="20"/>
        </w:rPr>
        <w:t xml:space="preserve"> </w:t>
      </w:r>
      <w:r w:rsidR="002A6EA9" w:rsidRPr="002A6EA9">
        <w:rPr>
          <w:sz w:val="20"/>
          <w:szCs w:val="20"/>
        </w:rPr>
        <w:t>respect</w:t>
      </w:r>
      <w:r w:rsidR="00C21309">
        <w:rPr>
          <w:sz w:val="20"/>
          <w:szCs w:val="20"/>
        </w:rPr>
        <w:t>ent</w:t>
      </w:r>
      <w:r w:rsidR="002A6EA9" w:rsidRPr="00784F53">
        <w:rPr>
          <w:sz w:val="20"/>
          <w:szCs w:val="20"/>
        </w:rPr>
        <w:t xml:space="preserve"> des dispositions réglementaires telles que la Lutte contre le Blanchiment d’argent et le Financement du Terrorisme (LCB</w:t>
      </w:r>
      <w:r w:rsidR="00784F53">
        <w:rPr>
          <w:sz w:val="20"/>
          <w:szCs w:val="20"/>
        </w:rPr>
        <w:t>-</w:t>
      </w:r>
      <w:r w:rsidR="002A6EA9" w:rsidRPr="00784F53">
        <w:rPr>
          <w:sz w:val="20"/>
          <w:szCs w:val="20"/>
        </w:rPr>
        <w:t>FT), la protection des</w:t>
      </w:r>
      <w:r w:rsidR="002A6EA9">
        <w:rPr>
          <w:sz w:val="20"/>
          <w:szCs w:val="20"/>
        </w:rPr>
        <w:t xml:space="preserve"> </w:t>
      </w:r>
      <w:r w:rsidR="002A6EA9" w:rsidRPr="00784F53">
        <w:rPr>
          <w:sz w:val="20"/>
          <w:szCs w:val="20"/>
        </w:rPr>
        <w:t>emprunteurs contre le surendettement et</w:t>
      </w:r>
      <w:r w:rsidR="002A6EA9">
        <w:rPr>
          <w:sz w:val="20"/>
          <w:szCs w:val="20"/>
        </w:rPr>
        <w:t xml:space="preserve"> le</w:t>
      </w:r>
      <w:r w:rsidR="002A6EA9" w:rsidRPr="00784F53">
        <w:rPr>
          <w:sz w:val="20"/>
          <w:szCs w:val="20"/>
        </w:rPr>
        <w:t xml:space="preserve"> </w:t>
      </w:r>
      <w:r w:rsidR="002A6EA9">
        <w:rPr>
          <w:sz w:val="20"/>
          <w:szCs w:val="20"/>
        </w:rPr>
        <w:t>r</w:t>
      </w:r>
      <w:r w:rsidR="002A6EA9" w:rsidRPr="00784F53">
        <w:rPr>
          <w:sz w:val="20"/>
          <w:szCs w:val="20"/>
        </w:rPr>
        <w:t>èglement général sur la protection des données (RGPD).</w:t>
      </w:r>
    </w:p>
  </w:footnote>
  <w:footnote w:id="2">
    <w:p w14:paraId="2A01C8D0" w14:textId="54F9A867" w:rsidR="008B1E21" w:rsidRDefault="008B1E21">
      <w:pPr>
        <w:pStyle w:val="Notedebasdepage"/>
      </w:pPr>
      <w:r>
        <w:rPr>
          <w:rStyle w:val="Appelnotedebasdep"/>
        </w:rPr>
        <w:footnoteRef/>
      </w:r>
      <w:r>
        <w:t xml:space="preserve"> Il est attendu un engagement en ce sens de l’OSC bénéficiaire du financement de l’AFD et de son ou ses partenaires de microfinance ayant bénéficié d’une rétrocession de fonds</w:t>
      </w:r>
    </w:p>
  </w:footnote>
  <w:footnote w:id="3">
    <w:p w14:paraId="1A460476" w14:textId="1738F1A8" w:rsidR="00DC0AEB" w:rsidRDefault="00DC0AEB">
      <w:pPr>
        <w:pStyle w:val="Notedebasdepage"/>
      </w:pPr>
      <w:r>
        <w:rPr>
          <w:rStyle w:val="Appelnotedebasdep"/>
        </w:rPr>
        <w:footnoteRef/>
      </w:r>
      <w:r>
        <w:t xml:space="preserve"> Questionnaire LCB-FT « Institutions financières » de l’AFD, n° u-00-98</w:t>
      </w:r>
    </w:p>
  </w:footnote>
  <w:footnote w:id="4">
    <w:p w14:paraId="5F1F0189" w14:textId="77777777" w:rsidR="00ED6DDA" w:rsidRPr="00ED6DDA" w:rsidRDefault="00ED6DDA">
      <w:pPr>
        <w:pStyle w:val="Notedebasdepage"/>
        <w:rPr>
          <w:rFonts w:ascii="Arial" w:hAnsi="Arial" w:cs="Arial"/>
          <w:sz w:val="16"/>
        </w:rPr>
      </w:pPr>
      <w:r w:rsidRPr="00ED6DDA">
        <w:rPr>
          <w:rStyle w:val="Appelnotedebasdep"/>
          <w:rFonts w:ascii="Arial" w:hAnsi="Arial" w:cs="Arial"/>
          <w:sz w:val="16"/>
        </w:rPr>
        <w:footnoteRef/>
      </w:r>
      <w:r w:rsidRPr="00ED6DDA">
        <w:rPr>
          <w:rFonts w:ascii="Arial" w:hAnsi="Arial" w:cs="Arial"/>
          <w:sz w:val="16"/>
        </w:rPr>
        <w:t xml:space="preserve"> Une personne politiquement exposée (PPE) est une personne résidant dans un pays autre que la France et qui exerce ou a cessé d’exercer depuis moins d’un an d'importantes fonctions publiques, par exemple chef d'État ou de gouvernement, parlementaires, membres d’une cour suprême ou d’une cour constitutionnelle, d’une cour des comptes, dirigeants ou membres de l’organe de direction d’une banque centrale,</w:t>
      </w:r>
      <w:r>
        <w:rPr>
          <w:rFonts w:ascii="Arial" w:hAnsi="Arial" w:cs="Arial"/>
          <w:sz w:val="16"/>
        </w:rPr>
        <w:t xml:space="preserve"> diplomates de haut rang, mili</w:t>
      </w:r>
      <w:r w:rsidRPr="00ED6DDA">
        <w:rPr>
          <w:rFonts w:ascii="Arial" w:hAnsi="Arial" w:cs="Arial"/>
          <w:sz w:val="16"/>
        </w:rPr>
        <w:t>taires de haut rang assurant le commandement d’une armée, membres d’un organe d’administration, de direction ou de surveillance d’une entreprise publique ou dirigeants d’une institution internationale. Les relations d'affaires avec les membres directs de la famille d'une PPE ou les personnes connues pour lui être étroitement associées présentent des risques similaires à ceux liés aux PPE elles-mêmes. Cette expression ne couvre pas les personnes de rang moyen ou inférieur relevant des catégories mentionnées ci-dessus.</w:t>
      </w:r>
    </w:p>
  </w:footnote>
  <w:footnote w:id="5">
    <w:p w14:paraId="438ACFB1" w14:textId="77777777" w:rsidR="00092CA8" w:rsidRPr="00092CA8" w:rsidRDefault="00092CA8">
      <w:pPr>
        <w:pStyle w:val="Notedebasdepage"/>
        <w:rPr>
          <w:rFonts w:ascii="Arial" w:hAnsi="Arial" w:cs="Arial"/>
          <w:sz w:val="16"/>
        </w:rPr>
      </w:pPr>
      <w:r w:rsidRPr="00092CA8">
        <w:rPr>
          <w:rStyle w:val="Appelnotedebasdep"/>
          <w:rFonts w:ascii="Arial" w:hAnsi="Arial" w:cs="Arial"/>
          <w:sz w:val="16"/>
        </w:rPr>
        <w:footnoteRef/>
      </w:r>
      <w:r w:rsidRPr="00092CA8">
        <w:rPr>
          <w:rFonts w:ascii="Arial" w:hAnsi="Arial" w:cs="Arial"/>
          <w:sz w:val="16"/>
        </w:rPr>
        <w:t xml:space="preserve"> À supprimer le cas échéant, si ce n’est pas le cas.</w:t>
      </w:r>
    </w:p>
  </w:footnote>
  <w:footnote w:id="6">
    <w:p w14:paraId="3F4E9ADC" w14:textId="77777777" w:rsidR="00092CA8" w:rsidRDefault="00092CA8">
      <w:pPr>
        <w:pStyle w:val="Notedebasdepage"/>
      </w:pPr>
      <w:r w:rsidRPr="00092CA8">
        <w:rPr>
          <w:rStyle w:val="Appelnotedebasdep"/>
          <w:rFonts w:ascii="Arial" w:hAnsi="Arial" w:cs="Arial"/>
          <w:sz w:val="16"/>
        </w:rPr>
        <w:footnoteRef/>
      </w:r>
      <w:r w:rsidRPr="00092CA8">
        <w:rPr>
          <w:rFonts w:ascii="Arial" w:hAnsi="Arial" w:cs="Arial"/>
          <w:sz w:val="16"/>
        </w:rPr>
        <w:t xml:space="preserve"> Si la contrepartie ne souhaitait pas donner ce type d’informations, il conviendrait d’en informer le Département Conformité de l’AFD, et de transmettre par note écrite circonstanciée les raisons justifiant ou motivant le refus.</w:t>
      </w:r>
    </w:p>
  </w:footnote>
  <w:footnote w:id="7">
    <w:p w14:paraId="4597B06E" w14:textId="77777777" w:rsidR="00092CA8" w:rsidRPr="002630AC" w:rsidRDefault="00092CA8">
      <w:pPr>
        <w:pStyle w:val="Notedebasdepage"/>
        <w:rPr>
          <w:rFonts w:ascii="Arial" w:hAnsi="Arial" w:cs="Arial"/>
          <w:sz w:val="16"/>
          <w:lang w:val="en-US"/>
        </w:rPr>
      </w:pPr>
      <w:r w:rsidRPr="00092CA8">
        <w:rPr>
          <w:rStyle w:val="Appelnotedebasdep"/>
          <w:rFonts w:ascii="Arial" w:hAnsi="Arial" w:cs="Arial"/>
          <w:sz w:val="16"/>
        </w:rPr>
        <w:footnoteRef/>
      </w:r>
      <w:r w:rsidRPr="002630AC">
        <w:rPr>
          <w:rFonts w:ascii="Arial" w:hAnsi="Arial" w:cs="Arial"/>
          <w:sz w:val="16"/>
          <w:lang w:val="en-US"/>
        </w:rPr>
        <w:t xml:space="preserve"> Delete if not applicable.</w:t>
      </w:r>
    </w:p>
  </w:footnote>
  <w:footnote w:id="8">
    <w:p w14:paraId="675842E0" w14:textId="77777777" w:rsidR="00092CA8" w:rsidRPr="00092CA8" w:rsidRDefault="00092CA8">
      <w:pPr>
        <w:pStyle w:val="Notedebasdepage"/>
        <w:rPr>
          <w:lang w:val="en-US"/>
        </w:rPr>
      </w:pPr>
      <w:r w:rsidRPr="00092CA8">
        <w:rPr>
          <w:rStyle w:val="Appelnotedebasdep"/>
          <w:rFonts w:ascii="Arial" w:hAnsi="Arial" w:cs="Arial"/>
          <w:sz w:val="16"/>
        </w:rPr>
        <w:footnoteRef/>
      </w:r>
      <w:r w:rsidRPr="00092CA8">
        <w:rPr>
          <w:rFonts w:ascii="Arial" w:hAnsi="Arial" w:cs="Arial"/>
          <w:sz w:val="16"/>
          <w:lang w:val="en-US"/>
        </w:rPr>
        <w:t xml:space="preserve"> In the case of a client who wouldn’t want to give this type of information, it would be necessary to inform the compliance Department of AFD and to transfer a writing note explaining the reasons justifying this refusal.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5C65"/>
    <w:multiLevelType w:val="hybridMultilevel"/>
    <w:tmpl w:val="4F668002"/>
    <w:lvl w:ilvl="0" w:tplc="040C0019">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66605A"/>
    <w:multiLevelType w:val="hybridMultilevel"/>
    <w:tmpl w:val="30B87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CF414D"/>
    <w:multiLevelType w:val="hybridMultilevel"/>
    <w:tmpl w:val="290AD35E"/>
    <w:lvl w:ilvl="0" w:tplc="1E08867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9E0A16"/>
    <w:multiLevelType w:val="hybridMultilevel"/>
    <w:tmpl w:val="3D347528"/>
    <w:lvl w:ilvl="0" w:tplc="6CDE17E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C427E4"/>
    <w:multiLevelType w:val="hybridMultilevel"/>
    <w:tmpl w:val="02167A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C782712"/>
    <w:multiLevelType w:val="hybridMultilevel"/>
    <w:tmpl w:val="5164C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895210"/>
    <w:multiLevelType w:val="hybridMultilevel"/>
    <w:tmpl w:val="CA047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C66032"/>
    <w:multiLevelType w:val="hybridMultilevel"/>
    <w:tmpl w:val="959028A8"/>
    <w:lvl w:ilvl="0" w:tplc="3A8C9B98">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C2126D1"/>
    <w:multiLevelType w:val="hybridMultilevel"/>
    <w:tmpl w:val="BACCC4F4"/>
    <w:lvl w:ilvl="0" w:tplc="2C368B6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42C29DE"/>
    <w:multiLevelType w:val="hybridMultilevel"/>
    <w:tmpl w:val="E140DB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AFD290C"/>
    <w:multiLevelType w:val="hybridMultilevel"/>
    <w:tmpl w:val="FB965E8E"/>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6CD20334"/>
    <w:multiLevelType w:val="hybridMultilevel"/>
    <w:tmpl w:val="462ED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2F6DF7"/>
    <w:multiLevelType w:val="hybridMultilevel"/>
    <w:tmpl w:val="B1327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422608"/>
    <w:multiLevelType w:val="hybridMultilevel"/>
    <w:tmpl w:val="BACCC4F4"/>
    <w:lvl w:ilvl="0" w:tplc="2C368B6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374765B"/>
    <w:multiLevelType w:val="hybridMultilevel"/>
    <w:tmpl w:val="908275F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8A4120"/>
    <w:multiLevelType w:val="hybridMultilevel"/>
    <w:tmpl w:val="41D29290"/>
    <w:lvl w:ilvl="0" w:tplc="6CDE17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D491C26"/>
    <w:multiLevelType w:val="hybridMultilevel"/>
    <w:tmpl w:val="A620C03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7D7B3127"/>
    <w:multiLevelType w:val="hybridMultilevel"/>
    <w:tmpl w:val="328EE2DC"/>
    <w:lvl w:ilvl="0" w:tplc="1FF67D7C">
      <w:start w:val="1"/>
      <w:numFmt w:val="decimal"/>
      <w:lvlText w:val="%1."/>
      <w:lvlJc w:val="left"/>
      <w:pPr>
        <w:ind w:left="1065" w:hanging="705"/>
      </w:pPr>
      <w:rPr>
        <w:rFonts w:hint="default"/>
      </w:rPr>
    </w:lvl>
    <w:lvl w:ilvl="1" w:tplc="8DF69756">
      <w:start w:val="8"/>
      <w:numFmt w:val="bullet"/>
      <w:lvlText w:val="-"/>
      <w:lvlJc w:val="left"/>
      <w:pPr>
        <w:ind w:left="1440" w:hanging="360"/>
      </w:pPr>
      <w:rPr>
        <w:rFonts w:ascii="Calibri" w:eastAsiaTheme="minorHAnsi"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F73666"/>
    <w:multiLevelType w:val="hybridMultilevel"/>
    <w:tmpl w:val="192AE7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3"/>
  </w:num>
  <w:num w:numId="3">
    <w:abstractNumId w:val="17"/>
  </w:num>
  <w:num w:numId="4">
    <w:abstractNumId w:val="7"/>
  </w:num>
  <w:num w:numId="5">
    <w:abstractNumId w:val="15"/>
  </w:num>
  <w:num w:numId="6">
    <w:abstractNumId w:val="2"/>
  </w:num>
  <w:num w:numId="7">
    <w:abstractNumId w:val="9"/>
  </w:num>
  <w:num w:numId="8">
    <w:abstractNumId w:val="13"/>
  </w:num>
  <w:num w:numId="9">
    <w:abstractNumId w:val="5"/>
  </w:num>
  <w:num w:numId="10">
    <w:abstractNumId w:val="8"/>
  </w:num>
  <w:num w:numId="11">
    <w:abstractNumId w:val="10"/>
  </w:num>
  <w:num w:numId="12">
    <w:abstractNumId w:val="12"/>
  </w:num>
  <w:num w:numId="13">
    <w:abstractNumId w:val="11"/>
  </w:num>
  <w:num w:numId="14">
    <w:abstractNumId w:val="6"/>
  </w:num>
  <w:num w:numId="15">
    <w:abstractNumId w:val="1"/>
  </w:num>
  <w:num w:numId="16">
    <w:abstractNumId w:val="14"/>
  </w:num>
  <w:num w:numId="17">
    <w:abstractNumId w:val="0"/>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96B"/>
    <w:rsid w:val="00000814"/>
    <w:rsid w:val="000476BB"/>
    <w:rsid w:val="00092CA8"/>
    <w:rsid w:val="000A4C59"/>
    <w:rsid w:val="000A5536"/>
    <w:rsid w:val="00116BCC"/>
    <w:rsid w:val="0015262F"/>
    <w:rsid w:val="0020696B"/>
    <w:rsid w:val="002525C3"/>
    <w:rsid w:val="002630AC"/>
    <w:rsid w:val="0027000D"/>
    <w:rsid w:val="00291C90"/>
    <w:rsid w:val="002A6EA9"/>
    <w:rsid w:val="003165BC"/>
    <w:rsid w:val="003820BE"/>
    <w:rsid w:val="00383717"/>
    <w:rsid w:val="00423220"/>
    <w:rsid w:val="00481291"/>
    <w:rsid w:val="004A3D5D"/>
    <w:rsid w:val="004C533B"/>
    <w:rsid w:val="005F0EBB"/>
    <w:rsid w:val="00604DB1"/>
    <w:rsid w:val="00660150"/>
    <w:rsid w:val="006C0FE1"/>
    <w:rsid w:val="006F7827"/>
    <w:rsid w:val="00743C1D"/>
    <w:rsid w:val="00784F53"/>
    <w:rsid w:val="007B0073"/>
    <w:rsid w:val="007B2533"/>
    <w:rsid w:val="007E71B6"/>
    <w:rsid w:val="007F7804"/>
    <w:rsid w:val="008462C9"/>
    <w:rsid w:val="008933F7"/>
    <w:rsid w:val="008B1E21"/>
    <w:rsid w:val="008D0B04"/>
    <w:rsid w:val="00977F5C"/>
    <w:rsid w:val="00986DE5"/>
    <w:rsid w:val="00987990"/>
    <w:rsid w:val="009A5819"/>
    <w:rsid w:val="009E2509"/>
    <w:rsid w:val="009E7BA7"/>
    <w:rsid w:val="00A25954"/>
    <w:rsid w:val="00A323B6"/>
    <w:rsid w:val="00A85398"/>
    <w:rsid w:val="00AE7DED"/>
    <w:rsid w:val="00B07DB7"/>
    <w:rsid w:val="00B712CF"/>
    <w:rsid w:val="00BE5297"/>
    <w:rsid w:val="00C21309"/>
    <w:rsid w:val="00C84F66"/>
    <w:rsid w:val="00CD39CC"/>
    <w:rsid w:val="00CF33D2"/>
    <w:rsid w:val="00D25001"/>
    <w:rsid w:val="00D7551F"/>
    <w:rsid w:val="00DC0AEB"/>
    <w:rsid w:val="00E16A5C"/>
    <w:rsid w:val="00E45C5F"/>
    <w:rsid w:val="00EC2D0F"/>
    <w:rsid w:val="00ED6DDA"/>
    <w:rsid w:val="00F73D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588B1"/>
  <w15:chartTrackingRefBased/>
  <w15:docId w15:val="{0BCA4817-BB50-4A70-97DA-026EFC13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696B"/>
    <w:pPr>
      <w:tabs>
        <w:tab w:val="center" w:pos="4536"/>
        <w:tab w:val="right" w:pos="9072"/>
      </w:tabs>
      <w:spacing w:line="240" w:lineRule="auto"/>
    </w:pPr>
  </w:style>
  <w:style w:type="character" w:customStyle="1" w:styleId="En-tteCar">
    <w:name w:val="En-tête Car"/>
    <w:basedOn w:val="Policepardfaut"/>
    <w:link w:val="En-tte"/>
    <w:uiPriority w:val="99"/>
    <w:rsid w:val="0020696B"/>
  </w:style>
  <w:style w:type="paragraph" w:styleId="Pieddepage">
    <w:name w:val="footer"/>
    <w:basedOn w:val="Normal"/>
    <w:link w:val="PieddepageCar"/>
    <w:uiPriority w:val="99"/>
    <w:unhideWhenUsed/>
    <w:rsid w:val="0020696B"/>
    <w:pPr>
      <w:tabs>
        <w:tab w:val="center" w:pos="4536"/>
        <w:tab w:val="right" w:pos="9072"/>
      </w:tabs>
      <w:spacing w:line="240" w:lineRule="auto"/>
    </w:pPr>
  </w:style>
  <w:style w:type="character" w:customStyle="1" w:styleId="PieddepageCar">
    <w:name w:val="Pied de page Car"/>
    <w:basedOn w:val="Policepardfaut"/>
    <w:link w:val="Pieddepage"/>
    <w:uiPriority w:val="99"/>
    <w:rsid w:val="0020696B"/>
  </w:style>
  <w:style w:type="paragraph" w:styleId="Paragraphedeliste">
    <w:name w:val="List Paragraph"/>
    <w:basedOn w:val="Normal"/>
    <w:uiPriority w:val="34"/>
    <w:qFormat/>
    <w:rsid w:val="0020696B"/>
    <w:pPr>
      <w:ind w:left="720"/>
      <w:contextualSpacing/>
    </w:pPr>
  </w:style>
  <w:style w:type="paragraph" w:styleId="Notedebasdepage">
    <w:name w:val="footnote text"/>
    <w:basedOn w:val="Normal"/>
    <w:link w:val="NotedebasdepageCar"/>
    <w:uiPriority w:val="99"/>
    <w:semiHidden/>
    <w:unhideWhenUsed/>
    <w:rsid w:val="0020696B"/>
    <w:pPr>
      <w:spacing w:line="240" w:lineRule="auto"/>
    </w:pPr>
    <w:rPr>
      <w:sz w:val="20"/>
      <w:szCs w:val="20"/>
    </w:rPr>
  </w:style>
  <w:style w:type="character" w:customStyle="1" w:styleId="NotedebasdepageCar">
    <w:name w:val="Note de bas de page Car"/>
    <w:basedOn w:val="Policepardfaut"/>
    <w:link w:val="Notedebasdepage"/>
    <w:uiPriority w:val="99"/>
    <w:semiHidden/>
    <w:rsid w:val="0020696B"/>
    <w:rPr>
      <w:sz w:val="20"/>
      <w:szCs w:val="20"/>
    </w:rPr>
  </w:style>
  <w:style w:type="character" w:styleId="Appelnotedebasdep">
    <w:name w:val="footnote reference"/>
    <w:basedOn w:val="Policepardfaut"/>
    <w:uiPriority w:val="99"/>
    <w:semiHidden/>
    <w:unhideWhenUsed/>
    <w:rsid w:val="0020696B"/>
    <w:rPr>
      <w:vertAlign w:val="superscript"/>
    </w:rPr>
  </w:style>
  <w:style w:type="paragraph" w:styleId="Notedefin">
    <w:name w:val="endnote text"/>
    <w:basedOn w:val="Normal"/>
    <w:link w:val="NotedefinCar"/>
    <w:uiPriority w:val="99"/>
    <w:semiHidden/>
    <w:unhideWhenUsed/>
    <w:rsid w:val="007E71B6"/>
    <w:pPr>
      <w:spacing w:line="240" w:lineRule="auto"/>
    </w:pPr>
    <w:rPr>
      <w:sz w:val="20"/>
      <w:szCs w:val="20"/>
    </w:rPr>
  </w:style>
  <w:style w:type="character" w:customStyle="1" w:styleId="NotedefinCar">
    <w:name w:val="Note de fin Car"/>
    <w:basedOn w:val="Policepardfaut"/>
    <w:link w:val="Notedefin"/>
    <w:uiPriority w:val="99"/>
    <w:semiHidden/>
    <w:rsid w:val="007E71B6"/>
    <w:rPr>
      <w:sz w:val="20"/>
      <w:szCs w:val="20"/>
    </w:rPr>
  </w:style>
  <w:style w:type="character" w:styleId="Appeldenotedefin">
    <w:name w:val="endnote reference"/>
    <w:basedOn w:val="Policepardfaut"/>
    <w:uiPriority w:val="99"/>
    <w:semiHidden/>
    <w:unhideWhenUsed/>
    <w:rsid w:val="007E71B6"/>
    <w:rPr>
      <w:vertAlign w:val="superscript"/>
    </w:rPr>
  </w:style>
  <w:style w:type="paragraph" w:styleId="Textedebulles">
    <w:name w:val="Balloon Text"/>
    <w:basedOn w:val="Normal"/>
    <w:link w:val="TextedebullesCar"/>
    <w:uiPriority w:val="99"/>
    <w:semiHidden/>
    <w:unhideWhenUsed/>
    <w:rsid w:val="0038371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3717"/>
    <w:rPr>
      <w:rFonts w:ascii="Segoe UI" w:hAnsi="Segoe UI" w:cs="Segoe UI"/>
      <w:sz w:val="18"/>
      <w:szCs w:val="18"/>
    </w:rPr>
  </w:style>
  <w:style w:type="character" w:styleId="Marquedecommentaire">
    <w:name w:val="annotation reference"/>
    <w:basedOn w:val="Policepardfaut"/>
    <w:uiPriority w:val="99"/>
    <w:semiHidden/>
    <w:unhideWhenUsed/>
    <w:rsid w:val="00383717"/>
    <w:rPr>
      <w:sz w:val="16"/>
      <w:szCs w:val="16"/>
    </w:rPr>
  </w:style>
  <w:style w:type="paragraph" w:styleId="Commentaire">
    <w:name w:val="annotation text"/>
    <w:basedOn w:val="Normal"/>
    <w:link w:val="CommentaireCar"/>
    <w:uiPriority w:val="99"/>
    <w:semiHidden/>
    <w:unhideWhenUsed/>
    <w:rsid w:val="00383717"/>
    <w:pPr>
      <w:spacing w:line="240" w:lineRule="auto"/>
    </w:pPr>
    <w:rPr>
      <w:sz w:val="20"/>
      <w:szCs w:val="20"/>
    </w:rPr>
  </w:style>
  <w:style w:type="character" w:customStyle="1" w:styleId="CommentaireCar">
    <w:name w:val="Commentaire Car"/>
    <w:basedOn w:val="Policepardfaut"/>
    <w:link w:val="Commentaire"/>
    <w:uiPriority w:val="99"/>
    <w:semiHidden/>
    <w:rsid w:val="00383717"/>
    <w:rPr>
      <w:sz w:val="20"/>
      <w:szCs w:val="20"/>
    </w:rPr>
  </w:style>
  <w:style w:type="paragraph" w:styleId="Objetducommentaire">
    <w:name w:val="annotation subject"/>
    <w:basedOn w:val="Commentaire"/>
    <w:next w:val="Commentaire"/>
    <w:link w:val="ObjetducommentaireCar"/>
    <w:uiPriority w:val="99"/>
    <w:semiHidden/>
    <w:unhideWhenUsed/>
    <w:rsid w:val="00383717"/>
    <w:rPr>
      <w:b/>
      <w:bCs/>
    </w:rPr>
  </w:style>
  <w:style w:type="character" w:customStyle="1" w:styleId="ObjetducommentaireCar">
    <w:name w:val="Objet du commentaire Car"/>
    <w:basedOn w:val="CommentaireCar"/>
    <w:link w:val="Objetducommentaire"/>
    <w:uiPriority w:val="99"/>
    <w:semiHidden/>
    <w:rsid w:val="00383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1B376-3E31-41A5-9581-959B38534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4447</Words>
  <Characters>24461</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TRESSENS Eugenie</dc:creator>
  <cp:keywords/>
  <dc:description/>
  <cp:lastModifiedBy>HUGUENIN Valérie</cp:lastModifiedBy>
  <cp:revision>5</cp:revision>
  <cp:lastPrinted>2022-11-14T12:33:00Z</cp:lastPrinted>
  <dcterms:created xsi:type="dcterms:W3CDTF">2022-09-23T10:18:00Z</dcterms:created>
  <dcterms:modified xsi:type="dcterms:W3CDTF">2022-11-14T12:33:00Z</dcterms:modified>
</cp:coreProperties>
</file>